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D720" w14:textId="7DBF37B9" w:rsidR="00145928" w:rsidRPr="006C5C27" w:rsidRDefault="00EF6494" w:rsidP="00145928">
      <w:pPr>
        <w:pStyle w:val="Heading1"/>
        <w:rPr>
          <w:rFonts w:cs="Calibri"/>
        </w:rPr>
      </w:pPr>
      <w:bookmarkStart w:id="0" w:name="_Toc103246902"/>
      <w:bookmarkStart w:id="1" w:name="_Toc103247173"/>
      <w:bookmarkStart w:id="2" w:name="_Toc103346489"/>
      <w:bookmarkStart w:id="3" w:name="_Toc103348526"/>
      <w:bookmarkStart w:id="4" w:name="_Toc103351180"/>
      <w:r w:rsidRPr="006C5C27">
        <w:rPr>
          <w:rFonts w:cs="Calibri"/>
        </w:rPr>
        <w:t>Information note—</w:t>
      </w:r>
      <w:r w:rsidRPr="006C5C27">
        <w:rPr>
          <w:rFonts w:cs="Calibri"/>
        </w:rPr>
        <w:br/>
        <w:t>L</w:t>
      </w:r>
      <w:r w:rsidR="00BD0BFC" w:rsidRPr="006C5C27">
        <w:rPr>
          <w:rFonts w:cs="Calibri"/>
        </w:rPr>
        <w:t>ow and middle income tax offset (L</w:t>
      </w:r>
      <w:r w:rsidRPr="006C5C27">
        <w:rPr>
          <w:rFonts w:cs="Calibri"/>
        </w:rPr>
        <w:t>MITO</w:t>
      </w:r>
      <w:r w:rsidR="00BD0BFC" w:rsidRPr="006C5C27">
        <w:rPr>
          <w:rFonts w:cs="Calibri"/>
        </w:rPr>
        <w:t>)</w:t>
      </w:r>
      <w:bookmarkEnd w:id="0"/>
      <w:bookmarkEnd w:id="1"/>
      <w:r w:rsidR="00D807AC">
        <w:rPr>
          <w:rFonts w:cs="Calibri"/>
        </w:rPr>
        <w:t xml:space="preserve"> and fuel excise</w:t>
      </w:r>
      <w:bookmarkEnd w:id="2"/>
      <w:bookmarkEnd w:id="3"/>
      <w:bookmarkEnd w:id="4"/>
    </w:p>
    <w:p w14:paraId="679A831D" w14:textId="2DA4D597" w:rsidR="00145928" w:rsidRPr="006C5C27" w:rsidRDefault="00145928" w:rsidP="00145928">
      <w:pPr>
        <w:rPr>
          <w:rFonts w:cs="Calibri"/>
        </w:rPr>
      </w:pPr>
      <w:r w:rsidRPr="006C5C27">
        <w:rPr>
          <w:rFonts w:cs="Calibri"/>
          <w:b/>
          <w:caps/>
          <w:noProof/>
          <w:color w:val="E7B100" w:themeColor="accent1"/>
          <w:sz w:val="25"/>
        </w:rPr>
        <mc:AlternateContent>
          <mc:Choice Requires="wps">
            <w:drawing>
              <wp:anchor distT="0" distB="0" distL="114300" distR="114300" simplePos="0" relativeHeight="251658240" behindDoc="0" locked="0" layoutInCell="1" allowOverlap="1" wp14:anchorId="27A2C478" wp14:editId="2A57F56E">
                <wp:simplePos x="0" y="0"/>
                <wp:positionH relativeFrom="column">
                  <wp:posOffset>0</wp:posOffset>
                </wp:positionH>
                <wp:positionV relativeFrom="paragraph">
                  <wp:posOffset>12065</wp:posOffset>
                </wp:positionV>
                <wp:extent cx="1434905" cy="0"/>
                <wp:effectExtent l="0" t="12700" r="26035" b="25400"/>
                <wp:wrapNone/>
                <wp:docPr id="44" name="Straight Connector 44"/>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4A024C7" id="Straight Connector 4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95pt" to="1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WQqFi1wAAAAQBAAAPAAAA&#10;ZHJzL2Rvd25yZXYueG1sTI/BTsMwDIbvSHuHyEjcWEoPE+uaTjCp0k5IFHZPGy+t1jhVk7UdT4/h&#10;AsfPv/X7c75fXC8mHEPnScHTOgGB1HjTkVXw+VE+PoMIUZPRvSdUcMMA+2J1l+vM+JnecaqiFVxC&#10;IdMK2hiHTMrQtOh0WPsBibOzH52OjKOVZtQzl7tepkmykU53xBdaPeChxeZSXZ2C8qvB6c0e6/Ph&#10;9badS1kZe+qUerhfXnYgIi7xbxl+9FkdCnaq/ZVMEL0CfiTydAuCwzTdMNe/LItc/pcvvgEAAP//&#10;AwBQSwECLQAUAAYACAAAACEAtoM4kv4AAADhAQAAEwAAAAAAAAAAAAAAAAAAAAAAW0NvbnRlbnRf&#10;VHlwZXNdLnhtbFBLAQItABQABgAIAAAAIQA4/SH/1gAAAJQBAAALAAAAAAAAAAAAAAAAAC8BAABf&#10;cmVscy8ucmVsc1BLAQItABQABgAIAAAAIQAkbV2NwwEAAN8DAAAOAAAAAAAAAAAAAAAAAC4CAABk&#10;cnMvZTJvRG9jLnhtbFBLAQItABQABgAIAAAAIQCWQqFi1wAAAAQBAAAPAAAAAAAAAAAAAAAAAB0E&#10;AABkcnMvZG93bnJldi54bWxQSwUGAAAAAAQABADzAAAAIQUAAAAA&#10;" strokecolor="#6cb744" strokeweight="2.5pt">
                <v:stroke joinstyle="miter"/>
              </v:line>
            </w:pict>
          </mc:Fallback>
        </mc:AlternateContent>
      </w:r>
    </w:p>
    <w:p w14:paraId="178641ED" w14:textId="2A4632A6" w:rsidR="00115E1F" w:rsidRDefault="00F43457" w:rsidP="00707DCA">
      <w:pPr>
        <w:pStyle w:val="IntroPara"/>
        <w:rPr>
          <w:rFonts w:cs="Calibri"/>
        </w:rPr>
      </w:pPr>
      <w:r>
        <w:rPr>
          <w:rFonts w:cs="Calibri"/>
        </w:rPr>
        <w:t>16</w:t>
      </w:r>
      <w:r w:rsidR="005E3C69" w:rsidRPr="006C5C27">
        <w:rPr>
          <w:rFonts w:cs="Calibri"/>
        </w:rPr>
        <w:t xml:space="preserve"> May 2022</w:t>
      </w:r>
    </w:p>
    <w:p w14:paraId="40975BF1" w14:textId="329D256E" w:rsidR="006D74B8" w:rsidRDefault="0006125F" w:rsidP="008E1A75">
      <w:r>
        <w:t xml:space="preserve">This information note provides additional material on the low and middle income tax offset (LMITO) and </w:t>
      </w:r>
      <w:r w:rsidR="00BA7CC8">
        <w:t xml:space="preserve">the temporary reduction in fuel excise. </w:t>
      </w:r>
      <w:r w:rsidR="00F7392C">
        <w:t>The</w:t>
      </w:r>
      <w:r w:rsidR="008E67C6">
        <w:t xml:space="preserve"> information note </w:t>
      </w:r>
      <w:r>
        <w:t xml:space="preserve">poses questions for the Commonwealth Treasury. </w:t>
      </w:r>
      <w:r w:rsidR="00E01E1E">
        <w:t>All parties are invited to comment on the material and r</w:t>
      </w:r>
      <w:r>
        <w:t>esponses to the questions can be provided at the public consultations.</w:t>
      </w:r>
    </w:p>
    <w:p w14:paraId="47F7246D" w14:textId="77777777" w:rsidR="00FF767A" w:rsidRDefault="00FF767A" w:rsidP="008E1A75"/>
    <w:sdt>
      <w:sdtPr>
        <w:rPr>
          <w:rFonts w:ascii="Calibri" w:eastAsiaTheme="minorHAnsi" w:hAnsi="Calibri" w:cstheme="minorBidi"/>
          <w:color w:val="000000" w:themeColor="text1"/>
          <w:sz w:val="22"/>
          <w:szCs w:val="22"/>
          <w:lang w:val="en-AU"/>
        </w:rPr>
        <w:id w:val="239598508"/>
        <w:docPartObj>
          <w:docPartGallery w:val="Table of Contents"/>
          <w:docPartUnique/>
        </w:docPartObj>
      </w:sdtPr>
      <w:sdtEndPr>
        <w:rPr>
          <w:b/>
          <w:bCs/>
          <w:noProof/>
        </w:rPr>
      </w:sdtEndPr>
      <w:sdtContent>
        <w:p w14:paraId="31EAC5A3" w14:textId="77777777" w:rsidR="008337AC" w:rsidRDefault="00682AA4" w:rsidP="00FF767A">
          <w:pPr>
            <w:pStyle w:val="TOCHeading"/>
            <w:rPr>
              <w:noProof/>
            </w:rPr>
          </w:pPr>
          <w:r w:rsidRPr="00682AA4">
            <w:rPr>
              <w:b/>
              <w:bCs/>
              <w:color w:val="0C233F"/>
              <w:sz w:val="28"/>
              <w:szCs w:val="28"/>
            </w:rPr>
            <w:t>Table of Contents</w:t>
          </w:r>
          <w:r>
            <w:fldChar w:fldCharType="begin"/>
          </w:r>
          <w:r>
            <w:instrText xml:space="preserve"> TOC \o "1-3" \h \z \u </w:instrText>
          </w:r>
          <w:r>
            <w:fldChar w:fldCharType="separate"/>
          </w:r>
        </w:p>
        <w:p w14:paraId="5F1CD188" w14:textId="3663D434" w:rsidR="008337AC" w:rsidRDefault="00D41B27">
          <w:pPr>
            <w:pStyle w:val="TOC2"/>
            <w:tabs>
              <w:tab w:val="right" w:leader="dot" w:pos="9912"/>
            </w:tabs>
            <w:rPr>
              <w:rFonts w:asciiTheme="minorHAnsi" w:eastAsiaTheme="minorEastAsia" w:hAnsiTheme="minorHAnsi"/>
              <w:noProof/>
              <w:color w:val="auto"/>
              <w:lang w:eastAsia="en-AU"/>
            </w:rPr>
          </w:pPr>
          <w:hyperlink w:anchor="_Toc103351181" w:history="1">
            <w:r w:rsidR="008337AC" w:rsidRPr="00C70A82">
              <w:rPr>
                <w:rStyle w:val="Hyperlink"/>
                <w:rFonts w:cs="Calibri"/>
                <w:noProof/>
              </w:rPr>
              <w:t>Low and middle income tax offset (LMITO)</w:t>
            </w:r>
            <w:r w:rsidR="008337AC">
              <w:rPr>
                <w:noProof/>
                <w:webHidden/>
              </w:rPr>
              <w:tab/>
            </w:r>
            <w:r w:rsidR="008337AC">
              <w:rPr>
                <w:noProof/>
                <w:webHidden/>
              </w:rPr>
              <w:fldChar w:fldCharType="begin"/>
            </w:r>
            <w:r w:rsidR="008337AC">
              <w:rPr>
                <w:noProof/>
                <w:webHidden/>
              </w:rPr>
              <w:instrText xml:space="preserve"> PAGEREF _Toc103351181 \h </w:instrText>
            </w:r>
            <w:r w:rsidR="008337AC">
              <w:rPr>
                <w:noProof/>
                <w:webHidden/>
              </w:rPr>
            </w:r>
            <w:r w:rsidR="008337AC">
              <w:rPr>
                <w:noProof/>
                <w:webHidden/>
              </w:rPr>
              <w:fldChar w:fldCharType="separate"/>
            </w:r>
            <w:r w:rsidR="00245FB7">
              <w:rPr>
                <w:noProof/>
                <w:webHidden/>
              </w:rPr>
              <w:t>2</w:t>
            </w:r>
            <w:r w:rsidR="008337AC">
              <w:rPr>
                <w:noProof/>
                <w:webHidden/>
              </w:rPr>
              <w:fldChar w:fldCharType="end"/>
            </w:r>
          </w:hyperlink>
        </w:p>
        <w:p w14:paraId="6F9F3A86" w14:textId="16085E0E" w:rsidR="008337AC" w:rsidRDefault="00D41B27">
          <w:pPr>
            <w:pStyle w:val="TOC3"/>
            <w:tabs>
              <w:tab w:val="right" w:leader="dot" w:pos="9912"/>
            </w:tabs>
            <w:rPr>
              <w:rFonts w:asciiTheme="minorHAnsi" w:eastAsiaTheme="minorEastAsia" w:hAnsiTheme="minorHAnsi"/>
              <w:noProof/>
              <w:color w:val="auto"/>
              <w:lang w:eastAsia="en-AU"/>
            </w:rPr>
          </w:pPr>
          <w:hyperlink w:anchor="_Toc103351182" w:history="1">
            <w:r w:rsidR="008337AC" w:rsidRPr="00C70A82">
              <w:rPr>
                <w:rStyle w:val="Hyperlink"/>
                <w:noProof/>
              </w:rPr>
              <w:t>When was it first considered by the Panel?</w:t>
            </w:r>
            <w:r w:rsidR="008337AC">
              <w:rPr>
                <w:noProof/>
                <w:webHidden/>
              </w:rPr>
              <w:tab/>
            </w:r>
            <w:r w:rsidR="008337AC">
              <w:rPr>
                <w:noProof/>
                <w:webHidden/>
              </w:rPr>
              <w:fldChar w:fldCharType="begin"/>
            </w:r>
            <w:r w:rsidR="008337AC">
              <w:rPr>
                <w:noProof/>
                <w:webHidden/>
              </w:rPr>
              <w:instrText xml:space="preserve"> PAGEREF _Toc103351182 \h </w:instrText>
            </w:r>
            <w:r w:rsidR="008337AC">
              <w:rPr>
                <w:noProof/>
                <w:webHidden/>
              </w:rPr>
            </w:r>
            <w:r w:rsidR="008337AC">
              <w:rPr>
                <w:noProof/>
                <w:webHidden/>
              </w:rPr>
              <w:fldChar w:fldCharType="separate"/>
            </w:r>
            <w:r w:rsidR="00245FB7">
              <w:rPr>
                <w:noProof/>
                <w:webHidden/>
              </w:rPr>
              <w:t>2</w:t>
            </w:r>
            <w:r w:rsidR="008337AC">
              <w:rPr>
                <w:noProof/>
                <w:webHidden/>
              </w:rPr>
              <w:fldChar w:fldCharType="end"/>
            </w:r>
          </w:hyperlink>
        </w:p>
        <w:p w14:paraId="4A952B01" w14:textId="41C761B0" w:rsidR="008337AC" w:rsidRDefault="00D41B27">
          <w:pPr>
            <w:pStyle w:val="TOC3"/>
            <w:tabs>
              <w:tab w:val="right" w:leader="dot" w:pos="9912"/>
            </w:tabs>
            <w:rPr>
              <w:rFonts w:asciiTheme="minorHAnsi" w:eastAsiaTheme="minorEastAsia" w:hAnsiTheme="minorHAnsi"/>
              <w:noProof/>
              <w:color w:val="auto"/>
              <w:lang w:eastAsia="en-AU"/>
            </w:rPr>
          </w:pPr>
          <w:hyperlink w:anchor="_Toc103351183" w:history="1">
            <w:r w:rsidR="008337AC" w:rsidRPr="00C70A82">
              <w:rPr>
                <w:rStyle w:val="Hyperlink"/>
                <w:noProof/>
              </w:rPr>
              <w:t>What happened next?</w:t>
            </w:r>
            <w:r w:rsidR="008337AC">
              <w:rPr>
                <w:noProof/>
                <w:webHidden/>
              </w:rPr>
              <w:tab/>
            </w:r>
            <w:r w:rsidR="008337AC">
              <w:rPr>
                <w:noProof/>
                <w:webHidden/>
              </w:rPr>
              <w:fldChar w:fldCharType="begin"/>
            </w:r>
            <w:r w:rsidR="008337AC">
              <w:rPr>
                <w:noProof/>
                <w:webHidden/>
              </w:rPr>
              <w:instrText xml:space="preserve"> PAGEREF _Toc103351183 \h </w:instrText>
            </w:r>
            <w:r w:rsidR="008337AC">
              <w:rPr>
                <w:noProof/>
                <w:webHidden/>
              </w:rPr>
            </w:r>
            <w:r w:rsidR="008337AC">
              <w:rPr>
                <w:noProof/>
                <w:webHidden/>
              </w:rPr>
              <w:fldChar w:fldCharType="separate"/>
            </w:r>
            <w:r w:rsidR="00245FB7">
              <w:rPr>
                <w:noProof/>
                <w:webHidden/>
              </w:rPr>
              <w:t>2</w:t>
            </w:r>
            <w:r w:rsidR="008337AC">
              <w:rPr>
                <w:noProof/>
                <w:webHidden/>
              </w:rPr>
              <w:fldChar w:fldCharType="end"/>
            </w:r>
          </w:hyperlink>
        </w:p>
        <w:p w14:paraId="579F96CF" w14:textId="7F56A100" w:rsidR="008337AC" w:rsidRDefault="00D41B27">
          <w:pPr>
            <w:pStyle w:val="TOC3"/>
            <w:tabs>
              <w:tab w:val="right" w:leader="dot" w:pos="9912"/>
            </w:tabs>
            <w:rPr>
              <w:rFonts w:asciiTheme="minorHAnsi" w:eastAsiaTheme="minorEastAsia" w:hAnsiTheme="minorHAnsi"/>
              <w:noProof/>
              <w:color w:val="auto"/>
              <w:lang w:eastAsia="en-AU"/>
            </w:rPr>
          </w:pPr>
          <w:hyperlink w:anchor="_Toc103351184" w:history="1">
            <w:r w:rsidR="008337AC" w:rsidRPr="00C70A82">
              <w:rPr>
                <w:rStyle w:val="Hyperlink"/>
                <w:noProof/>
                <w:lang w:val="en-US"/>
              </w:rPr>
              <w:t>Increasing the LMITO for the 2021–22 financial year</w:t>
            </w:r>
            <w:r w:rsidR="008337AC">
              <w:rPr>
                <w:noProof/>
                <w:webHidden/>
              </w:rPr>
              <w:tab/>
            </w:r>
            <w:r w:rsidR="008337AC">
              <w:rPr>
                <w:noProof/>
                <w:webHidden/>
              </w:rPr>
              <w:fldChar w:fldCharType="begin"/>
            </w:r>
            <w:r w:rsidR="008337AC">
              <w:rPr>
                <w:noProof/>
                <w:webHidden/>
              </w:rPr>
              <w:instrText xml:space="preserve"> PAGEREF _Toc103351184 \h </w:instrText>
            </w:r>
            <w:r w:rsidR="008337AC">
              <w:rPr>
                <w:noProof/>
                <w:webHidden/>
              </w:rPr>
            </w:r>
            <w:r w:rsidR="008337AC">
              <w:rPr>
                <w:noProof/>
                <w:webHidden/>
              </w:rPr>
              <w:fldChar w:fldCharType="separate"/>
            </w:r>
            <w:r w:rsidR="00245FB7">
              <w:rPr>
                <w:noProof/>
                <w:webHidden/>
              </w:rPr>
              <w:t>3</w:t>
            </w:r>
            <w:r w:rsidR="008337AC">
              <w:rPr>
                <w:noProof/>
                <w:webHidden/>
              </w:rPr>
              <w:fldChar w:fldCharType="end"/>
            </w:r>
          </w:hyperlink>
        </w:p>
        <w:p w14:paraId="20696E0D" w14:textId="6A5BD4E5" w:rsidR="008337AC" w:rsidRDefault="00D41B27">
          <w:pPr>
            <w:pStyle w:val="TOC3"/>
            <w:tabs>
              <w:tab w:val="right" w:leader="dot" w:pos="9912"/>
            </w:tabs>
            <w:rPr>
              <w:rFonts w:asciiTheme="minorHAnsi" w:eastAsiaTheme="minorEastAsia" w:hAnsiTheme="minorHAnsi"/>
              <w:noProof/>
              <w:color w:val="auto"/>
              <w:lang w:eastAsia="en-AU"/>
            </w:rPr>
          </w:pPr>
          <w:hyperlink w:anchor="_Toc103351185" w:history="1">
            <w:r w:rsidR="008337AC" w:rsidRPr="00C70A82">
              <w:rPr>
                <w:rStyle w:val="Hyperlink"/>
                <w:noProof/>
              </w:rPr>
              <w:t>What have parties said in this Review?</w:t>
            </w:r>
            <w:r w:rsidR="008337AC">
              <w:rPr>
                <w:noProof/>
                <w:webHidden/>
              </w:rPr>
              <w:tab/>
            </w:r>
            <w:r w:rsidR="008337AC">
              <w:rPr>
                <w:noProof/>
                <w:webHidden/>
              </w:rPr>
              <w:fldChar w:fldCharType="begin"/>
            </w:r>
            <w:r w:rsidR="008337AC">
              <w:rPr>
                <w:noProof/>
                <w:webHidden/>
              </w:rPr>
              <w:instrText xml:space="preserve"> PAGEREF _Toc103351185 \h </w:instrText>
            </w:r>
            <w:r w:rsidR="008337AC">
              <w:rPr>
                <w:noProof/>
                <w:webHidden/>
              </w:rPr>
            </w:r>
            <w:r w:rsidR="008337AC">
              <w:rPr>
                <w:noProof/>
                <w:webHidden/>
              </w:rPr>
              <w:fldChar w:fldCharType="separate"/>
            </w:r>
            <w:r w:rsidR="00245FB7">
              <w:rPr>
                <w:noProof/>
                <w:webHidden/>
              </w:rPr>
              <w:t>4</w:t>
            </w:r>
            <w:r w:rsidR="008337AC">
              <w:rPr>
                <w:noProof/>
                <w:webHidden/>
              </w:rPr>
              <w:fldChar w:fldCharType="end"/>
            </w:r>
          </w:hyperlink>
        </w:p>
        <w:p w14:paraId="07AF9CF4" w14:textId="7A0CBF94" w:rsidR="008337AC" w:rsidRDefault="00D41B27">
          <w:pPr>
            <w:pStyle w:val="TOC2"/>
            <w:tabs>
              <w:tab w:val="right" w:leader="dot" w:pos="9912"/>
            </w:tabs>
            <w:rPr>
              <w:rFonts w:asciiTheme="minorHAnsi" w:eastAsiaTheme="minorEastAsia" w:hAnsiTheme="minorHAnsi"/>
              <w:noProof/>
              <w:color w:val="auto"/>
              <w:lang w:eastAsia="en-AU"/>
            </w:rPr>
          </w:pPr>
          <w:hyperlink w:anchor="_Toc103351186" w:history="1">
            <w:r w:rsidR="008337AC" w:rsidRPr="00C70A82">
              <w:rPr>
                <w:rStyle w:val="Hyperlink"/>
                <w:noProof/>
              </w:rPr>
              <w:t>Temporary reduction in fuel excise</w:t>
            </w:r>
            <w:r w:rsidR="008337AC">
              <w:rPr>
                <w:noProof/>
                <w:webHidden/>
              </w:rPr>
              <w:tab/>
            </w:r>
            <w:r w:rsidR="008337AC">
              <w:rPr>
                <w:noProof/>
                <w:webHidden/>
              </w:rPr>
              <w:fldChar w:fldCharType="begin"/>
            </w:r>
            <w:r w:rsidR="008337AC">
              <w:rPr>
                <w:noProof/>
                <w:webHidden/>
              </w:rPr>
              <w:instrText xml:space="preserve"> PAGEREF _Toc103351186 \h </w:instrText>
            </w:r>
            <w:r w:rsidR="008337AC">
              <w:rPr>
                <w:noProof/>
                <w:webHidden/>
              </w:rPr>
            </w:r>
            <w:r w:rsidR="008337AC">
              <w:rPr>
                <w:noProof/>
                <w:webHidden/>
              </w:rPr>
              <w:fldChar w:fldCharType="separate"/>
            </w:r>
            <w:r w:rsidR="00245FB7">
              <w:rPr>
                <w:noProof/>
                <w:webHidden/>
              </w:rPr>
              <w:t>5</w:t>
            </w:r>
            <w:r w:rsidR="008337AC">
              <w:rPr>
                <w:noProof/>
                <w:webHidden/>
              </w:rPr>
              <w:fldChar w:fldCharType="end"/>
            </w:r>
          </w:hyperlink>
        </w:p>
        <w:p w14:paraId="7724E0E7" w14:textId="6AA70EB4" w:rsidR="008337AC" w:rsidRDefault="00D41B27">
          <w:pPr>
            <w:pStyle w:val="TOC3"/>
            <w:tabs>
              <w:tab w:val="right" w:leader="dot" w:pos="9912"/>
            </w:tabs>
            <w:rPr>
              <w:rFonts w:asciiTheme="minorHAnsi" w:eastAsiaTheme="minorEastAsia" w:hAnsiTheme="minorHAnsi"/>
              <w:noProof/>
              <w:color w:val="auto"/>
              <w:lang w:eastAsia="en-AU"/>
            </w:rPr>
          </w:pPr>
          <w:hyperlink w:anchor="_Toc103351187" w:history="1">
            <w:r w:rsidR="008337AC" w:rsidRPr="00C70A82">
              <w:rPr>
                <w:rStyle w:val="Hyperlink"/>
                <w:noProof/>
              </w:rPr>
              <w:t>What have parties said in this Review?</w:t>
            </w:r>
            <w:r w:rsidR="008337AC">
              <w:rPr>
                <w:noProof/>
                <w:webHidden/>
              </w:rPr>
              <w:tab/>
            </w:r>
            <w:r w:rsidR="008337AC">
              <w:rPr>
                <w:noProof/>
                <w:webHidden/>
              </w:rPr>
              <w:fldChar w:fldCharType="begin"/>
            </w:r>
            <w:r w:rsidR="008337AC">
              <w:rPr>
                <w:noProof/>
                <w:webHidden/>
              </w:rPr>
              <w:instrText xml:space="preserve"> PAGEREF _Toc103351187 \h </w:instrText>
            </w:r>
            <w:r w:rsidR="008337AC">
              <w:rPr>
                <w:noProof/>
                <w:webHidden/>
              </w:rPr>
            </w:r>
            <w:r w:rsidR="008337AC">
              <w:rPr>
                <w:noProof/>
                <w:webHidden/>
              </w:rPr>
              <w:fldChar w:fldCharType="separate"/>
            </w:r>
            <w:r w:rsidR="00245FB7">
              <w:rPr>
                <w:noProof/>
                <w:webHidden/>
              </w:rPr>
              <w:t>5</w:t>
            </w:r>
            <w:r w:rsidR="008337AC">
              <w:rPr>
                <w:noProof/>
                <w:webHidden/>
              </w:rPr>
              <w:fldChar w:fldCharType="end"/>
            </w:r>
          </w:hyperlink>
        </w:p>
        <w:p w14:paraId="13CA692A" w14:textId="16ACCEB1" w:rsidR="00682AA4" w:rsidRDefault="00682AA4" w:rsidP="00FF767A">
          <w:pPr>
            <w:pStyle w:val="TOC3"/>
            <w:tabs>
              <w:tab w:val="right" w:leader="dot" w:pos="9912"/>
            </w:tabs>
          </w:pPr>
          <w:r>
            <w:rPr>
              <w:b/>
              <w:bCs/>
              <w:noProof/>
            </w:rPr>
            <w:fldChar w:fldCharType="end"/>
          </w:r>
        </w:p>
      </w:sdtContent>
    </w:sdt>
    <w:p w14:paraId="2044F10C" w14:textId="77777777" w:rsidR="002A5FC8" w:rsidRDefault="002A5FC8" w:rsidP="00A26F0D">
      <w:pPr>
        <w:pStyle w:val="Heading2"/>
        <w:rPr>
          <w:rFonts w:cs="Calibri"/>
        </w:rPr>
      </w:pPr>
      <w:bookmarkStart w:id="5" w:name="_Toc103351181"/>
      <w:r>
        <w:rPr>
          <w:rFonts w:cs="Calibri"/>
        </w:rPr>
        <w:t>Low and middle income tax offset (LMITO)</w:t>
      </w:r>
      <w:bookmarkEnd w:id="5"/>
    </w:p>
    <w:p w14:paraId="18C51FE1" w14:textId="59B217B9" w:rsidR="00A26F0D" w:rsidRPr="006C5C27" w:rsidRDefault="00A26F0D" w:rsidP="002A5FC8">
      <w:pPr>
        <w:pStyle w:val="Heading3"/>
      </w:pPr>
      <w:bookmarkStart w:id="6" w:name="_Toc103351182"/>
      <w:r w:rsidRPr="006C5C27">
        <w:t>When was it first considered</w:t>
      </w:r>
      <w:r w:rsidR="00DA4E1C">
        <w:t xml:space="preserve"> by the Panel</w:t>
      </w:r>
      <w:r w:rsidRPr="006C5C27">
        <w:t>?</w:t>
      </w:r>
      <w:bookmarkEnd w:id="6"/>
    </w:p>
    <w:p w14:paraId="0BD7D0AE" w14:textId="34BEB5C8" w:rsidR="00BD0BFC" w:rsidRPr="006C5C27" w:rsidRDefault="00BD0BFC" w:rsidP="00C71F06">
      <w:pPr>
        <w:rPr>
          <w:rFonts w:cs="Calibri"/>
        </w:rPr>
      </w:pPr>
      <w:r w:rsidRPr="006C5C27">
        <w:rPr>
          <w:rFonts w:cs="Calibri"/>
        </w:rPr>
        <w:t>The</w:t>
      </w:r>
      <w:r w:rsidR="00F300B8" w:rsidRPr="006C5C27">
        <w:rPr>
          <w:rFonts w:cs="Calibri"/>
        </w:rPr>
        <w:t xml:space="preserve"> low and middle income tax offset</w:t>
      </w:r>
      <w:r w:rsidRPr="006C5C27">
        <w:rPr>
          <w:rFonts w:cs="Calibri"/>
        </w:rPr>
        <w:t xml:space="preserve"> </w:t>
      </w:r>
      <w:r w:rsidR="00F300B8" w:rsidRPr="006C5C27">
        <w:rPr>
          <w:rFonts w:cs="Calibri"/>
        </w:rPr>
        <w:t>(</w:t>
      </w:r>
      <w:r w:rsidRPr="006C5C27">
        <w:rPr>
          <w:rFonts w:cs="Calibri"/>
        </w:rPr>
        <w:t>LMITO</w:t>
      </w:r>
      <w:r w:rsidR="00F300B8" w:rsidRPr="006C5C27">
        <w:rPr>
          <w:rFonts w:cs="Calibri"/>
        </w:rPr>
        <w:t>)</w:t>
      </w:r>
      <w:r w:rsidRPr="006C5C27">
        <w:rPr>
          <w:rFonts w:cs="Calibri"/>
        </w:rPr>
        <w:t xml:space="preserve"> was introduced for the 2018–19 financial year and </w:t>
      </w:r>
      <w:r w:rsidR="006D4957" w:rsidRPr="006C5C27">
        <w:rPr>
          <w:rFonts w:cs="Calibri"/>
        </w:rPr>
        <w:t>wa</w:t>
      </w:r>
      <w:r w:rsidRPr="006C5C27">
        <w:rPr>
          <w:rFonts w:cs="Calibri"/>
        </w:rPr>
        <w:t xml:space="preserve">s paid as a lump sum </w:t>
      </w:r>
      <w:r w:rsidRPr="006C5C27">
        <w:rPr>
          <w:rFonts w:cs="Calibri"/>
          <w:u w:val="single"/>
        </w:rPr>
        <w:t>after</w:t>
      </w:r>
      <w:r w:rsidRPr="006C5C27">
        <w:rPr>
          <w:rFonts w:cs="Calibri"/>
        </w:rPr>
        <w:t xml:space="preserve"> the lodging of income tax returns</w:t>
      </w:r>
      <w:r w:rsidR="004642D0">
        <w:rPr>
          <w:rFonts w:cs="Calibri"/>
        </w:rPr>
        <w:t xml:space="preserve"> (i.e</w:t>
      </w:r>
      <w:r w:rsidR="00BB12BB">
        <w:rPr>
          <w:rFonts w:cs="Calibri"/>
        </w:rPr>
        <w:t>.</w:t>
      </w:r>
      <w:r w:rsidR="004642D0">
        <w:rPr>
          <w:rFonts w:cs="Calibri"/>
        </w:rPr>
        <w:t xml:space="preserve"> from 1 July 2019)</w:t>
      </w:r>
      <w:r w:rsidRPr="006C5C27">
        <w:rPr>
          <w:rFonts w:cs="Calibri"/>
        </w:rPr>
        <w:t>. The LMITO worked in conjunction with the low income tax offset (LITO)</w:t>
      </w:r>
      <w:r w:rsidR="00EC6E01">
        <w:rPr>
          <w:rFonts w:cs="Calibri"/>
        </w:rPr>
        <w:t>.</w:t>
      </w:r>
      <w:r w:rsidR="006A75D3">
        <w:rPr>
          <w:rStyle w:val="FootnoteReference"/>
          <w:rFonts w:cs="Calibri"/>
        </w:rPr>
        <w:footnoteReference w:id="2"/>
      </w:r>
    </w:p>
    <w:p w14:paraId="7E6346C1" w14:textId="77777777" w:rsidR="003F240E" w:rsidRPr="006C5C27" w:rsidRDefault="003F240E" w:rsidP="003F240E">
      <w:pPr>
        <w:rPr>
          <w:rFonts w:cs="Calibri"/>
        </w:rPr>
      </w:pPr>
      <w:r w:rsidRPr="006C5C27">
        <w:rPr>
          <w:rFonts w:cs="Calibri"/>
        </w:rPr>
        <w:t>The Panel stated in the 2018–19 Review:</w:t>
      </w:r>
    </w:p>
    <w:p w14:paraId="419E4530" w14:textId="77777777" w:rsidR="003F240E" w:rsidRPr="006C5C27" w:rsidRDefault="003F240E" w:rsidP="003F240E">
      <w:pPr>
        <w:pStyle w:val="Quote"/>
        <w:rPr>
          <w:rFonts w:cs="Calibri"/>
          <w:i w:val="0"/>
          <w:iCs w:val="0"/>
        </w:rPr>
      </w:pPr>
      <w:r>
        <w:rPr>
          <w:rFonts w:cs="Calibri"/>
        </w:rPr>
        <w:t>…</w:t>
      </w:r>
      <w:r w:rsidRPr="000F1192">
        <w:t xml:space="preserve"> </w:t>
      </w:r>
      <w:r w:rsidRPr="000F1192">
        <w:rPr>
          <w:rFonts w:cs="Calibri"/>
        </w:rPr>
        <w:t>we accept that the introduction of the LMITO effective from 1 July 2018 and the increase in the Medicare levy’s low-income threshold for the 2018–19 financial year (to take into account movements in the CPI) have, broadly speaking, provided a benefit to low-paid households. These changes are a moderating factor on our assessment of the appropriate level of increase to the NMW and modern award minimum wages arising from this Review. But for the reasons we have given, it is not appropriate to apply a direct, quantifiable, discount to the increase in the NMW and modern award minimum wages we would have awarded in the absence of such changes in the tax-transfer system</w:t>
      </w:r>
      <w:r w:rsidRPr="006C5C27">
        <w:rPr>
          <w:rFonts w:cs="Calibri"/>
        </w:rPr>
        <w:t>.</w:t>
      </w:r>
      <w:r w:rsidRPr="00BF6E18">
        <w:rPr>
          <w:rStyle w:val="FootnoteReference"/>
          <w:rFonts w:ascii="Calibri" w:hAnsi="Calibri" w:cs="Calibri"/>
          <w:i w:val="0"/>
          <w:iCs w:val="0"/>
        </w:rPr>
        <w:footnoteReference w:id="3"/>
      </w:r>
    </w:p>
    <w:p w14:paraId="57959CB5" w14:textId="0828804D" w:rsidR="00D0494E" w:rsidRPr="006C5C27" w:rsidRDefault="00D0494E" w:rsidP="002A5FC8">
      <w:pPr>
        <w:pStyle w:val="Heading3"/>
      </w:pPr>
      <w:bookmarkStart w:id="7" w:name="_Toc103351183"/>
      <w:r w:rsidRPr="006C5C27">
        <w:t>What happened next?</w:t>
      </w:r>
      <w:bookmarkEnd w:id="7"/>
    </w:p>
    <w:p w14:paraId="13B92D13" w14:textId="376258B2" w:rsidR="007D7FC9" w:rsidRPr="006C5C27" w:rsidRDefault="00E77CBA" w:rsidP="00C54266">
      <w:pPr>
        <w:rPr>
          <w:rFonts w:cs="Calibri"/>
        </w:rPr>
      </w:pPr>
      <w:r w:rsidRPr="006C5C27">
        <w:rPr>
          <w:rFonts w:cs="Calibri"/>
        </w:rPr>
        <w:t>The 2019–20 Budget (</w:t>
      </w:r>
      <w:r w:rsidR="002A0235">
        <w:rPr>
          <w:rFonts w:cs="Calibri"/>
        </w:rPr>
        <w:t>handed down</w:t>
      </w:r>
      <w:r w:rsidRPr="006C5C27">
        <w:rPr>
          <w:rFonts w:cs="Calibri"/>
        </w:rPr>
        <w:t xml:space="preserve"> </w:t>
      </w:r>
      <w:r w:rsidR="004C23C0">
        <w:rPr>
          <w:rFonts w:cs="Calibri"/>
        </w:rPr>
        <w:t xml:space="preserve">earlier </w:t>
      </w:r>
      <w:r w:rsidR="007D7FC9" w:rsidRPr="006C5C27">
        <w:rPr>
          <w:rFonts w:cs="Calibri"/>
        </w:rPr>
        <w:t>on 2 April</w:t>
      </w:r>
      <w:r w:rsidRPr="006C5C27">
        <w:rPr>
          <w:rFonts w:cs="Calibri"/>
        </w:rPr>
        <w:t xml:space="preserve"> 2019</w:t>
      </w:r>
      <w:r w:rsidR="004C23C0">
        <w:rPr>
          <w:rFonts w:cs="Calibri"/>
        </w:rPr>
        <w:t xml:space="preserve"> due to the federal election</w:t>
      </w:r>
      <w:r w:rsidRPr="006C5C27">
        <w:rPr>
          <w:rFonts w:cs="Calibri"/>
        </w:rPr>
        <w:t xml:space="preserve">) </w:t>
      </w:r>
      <w:r w:rsidR="002A0235">
        <w:rPr>
          <w:rFonts w:cs="Calibri"/>
        </w:rPr>
        <w:t xml:space="preserve">announced </w:t>
      </w:r>
      <w:r w:rsidR="004C23C0">
        <w:rPr>
          <w:rFonts w:cs="Calibri"/>
        </w:rPr>
        <w:t>that the LMITO would be</w:t>
      </w:r>
      <w:r w:rsidR="002A0235">
        <w:rPr>
          <w:rFonts w:cs="Calibri"/>
        </w:rPr>
        <w:t xml:space="preserve"> </w:t>
      </w:r>
      <w:r w:rsidRPr="006C5C27">
        <w:rPr>
          <w:rFonts w:cs="Calibri"/>
        </w:rPr>
        <w:t>exten</w:t>
      </w:r>
      <w:r w:rsidR="004C23C0">
        <w:rPr>
          <w:rFonts w:cs="Calibri"/>
        </w:rPr>
        <w:t>ded</w:t>
      </w:r>
      <w:r w:rsidR="002A0235">
        <w:rPr>
          <w:rFonts w:cs="Calibri"/>
        </w:rPr>
        <w:t xml:space="preserve"> </w:t>
      </w:r>
      <w:r w:rsidRPr="006C5C27">
        <w:rPr>
          <w:rFonts w:cs="Calibri"/>
        </w:rPr>
        <w:t xml:space="preserve">for the 2019–20, 2020–21 and 2021–22 financial years. </w:t>
      </w:r>
    </w:p>
    <w:p w14:paraId="17E7A09E" w14:textId="3D5B1CD8" w:rsidR="00C54266" w:rsidRPr="006C5C27" w:rsidRDefault="00DA4E1C" w:rsidP="00C54266">
      <w:pPr>
        <w:rPr>
          <w:rFonts w:cs="Calibri"/>
        </w:rPr>
      </w:pPr>
      <w:r>
        <w:rPr>
          <w:rFonts w:cs="Calibri"/>
        </w:rPr>
        <w:t>The Budget</w:t>
      </w:r>
      <w:r w:rsidR="00E77CBA" w:rsidRPr="006C5C27">
        <w:rPr>
          <w:rFonts w:cs="Calibri"/>
        </w:rPr>
        <w:t xml:space="preserve"> also announced </w:t>
      </w:r>
      <w:r w:rsidR="00A1552C">
        <w:rPr>
          <w:rFonts w:cs="Calibri"/>
        </w:rPr>
        <w:t xml:space="preserve">an </w:t>
      </w:r>
      <w:r w:rsidR="00A6178B">
        <w:rPr>
          <w:rFonts w:cs="Calibri"/>
        </w:rPr>
        <w:t>i</w:t>
      </w:r>
      <w:r w:rsidR="00A1552C">
        <w:rPr>
          <w:rFonts w:cs="Calibri"/>
        </w:rPr>
        <w:t xml:space="preserve">ncrease to the LMITO: </w:t>
      </w:r>
      <w:r w:rsidR="00E77CBA" w:rsidRPr="006C5C27">
        <w:rPr>
          <w:rFonts w:cs="Calibri"/>
        </w:rPr>
        <w:t>the</w:t>
      </w:r>
      <w:r w:rsidR="00C54266" w:rsidRPr="006C5C27">
        <w:rPr>
          <w:rFonts w:cs="Calibri"/>
        </w:rPr>
        <w:t xml:space="preserve"> minimum offset </w:t>
      </w:r>
      <w:r w:rsidR="00EA31C9" w:rsidRPr="006C5C27">
        <w:rPr>
          <w:rFonts w:cs="Calibri"/>
        </w:rPr>
        <w:t xml:space="preserve">amount </w:t>
      </w:r>
      <w:r>
        <w:rPr>
          <w:rFonts w:cs="Calibri"/>
        </w:rPr>
        <w:t xml:space="preserve">would </w:t>
      </w:r>
      <w:r w:rsidR="00C54266" w:rsidRPr="006C5C27">
        <w:rPr>
          <w:rFonts w:cs="Calibri"/>
        </w:rPr>
        <w:t>increase</w:t>
      </w:r>
      <w:r w:rsidR="00B0295E">
        <w:rPr>
          <w:rFonts w:cs="Calibri"/>
        </w:rPr>
        <w:t xml:space="preserve"> </w:t>
      </w:r>
      <w:r w:rsidR="00C54266" w:rsidRPr="006C5C27">
        <w:rPr>
          <w:rFonts w:cs="Calibri"/>
        </w:rPr>
        <w:t>to $255</w:t>
      </w:r>
      <w:r w:rsidR="001947F5">
        <w:rPr>
          <w:rFonts w:cs="Calibri"/>
        </w:rPr>
        <w:t xml:space="preserve"> (</w:t>
      </w:r>
      <w:r w:rsidR="005D136D">
        <w:rPr>
          <w:rFonts w:cs="Calibri"/>
        </w:rPr>
        <w:t xml:space="preserve">up </w:t>
      </w:r>
      <w:r w:rsidR="001947F5">
        <w:rPr>
          <w:rFonts w:cs="Calibri"/>
        </w:rPr>
        <w:t>from $200)</w:t>
      </w:r>
      <w:r w:rsidR="00CF0F03">
        <w:rPr>
          <w:rFonts w:cs="Calibri"/>
        </w:rPr>
        <w:t>,</w:t>
      </w:r>
      <w:r w:rsidR="00C54266" w:rsidRPr="006C5C27">
        <w:rPr>
          <w:rFonts w:cs="Calibri"/>
        </w:rPr>
        <w:t xml:space="preserve"> with the rate increasing by 7.5 cents per dollar</w:t>
      </w:r>
      <w:r w:rsidR="005D136D">
        <w:rPr>
          <w:rFonts w:cs="Calibri"/>
        </w:rPr>
        <w:t xml:space="preserve"> (up from 3 cents)</w:t>
      </w:r>
      <w:r w:rsidR="00C54266" w:rsidRPr="006C5C27">
        <w:rPr>
          <w:rFonts w:cs="Calibri"/>
        </w:rPr>
        <w:t xml:space="preserve"> to the new maximum level of $1080</w:t>
      </w:r>
      <w:r w:rsidR="005D136D">
        <w:rPr>
          <w:rFonts w:cs="Calibri"/>
        </w:rPr>
        <w:t xml:space="preserve"> (up from $530)</w:t>
      </w:r>
      <w:r w:rsidR="00513145">
        <w:rPr>
          <w:rFonts w:cs="Calibri"/>
        </w:rPr>
        <w:t>,</w:t>
      </w:r>
      <w:r w:rsidR="00C54266" w:rsidRPr="006C5C27">
        <w:rPr>
          <w:rFonts w:cs="Calibri"/>
        </w:rPr>
        <w:t xml:space="preserve"> before phasing out at 3 cents per dollar</w:t>
      </w:r>
      <w:r w:rsidR="006A7EB7">
        <w:rPr>
          <w:rFonts w:cs="Calibri"/>
        </w:rPr>
        <w:t xml:space="preserve"> (up from 1.5 cents)</w:t>
      </w:r>
      <w:r w:rsidR="00C54266" w:rsidRPr="006C5C27">
        <w:rPr>
          <w:rFonts w:cs="Calibri"/>
        </w:rPr>
        <w:t>.</w:t>
      </w:r>
      <w:r w:rsidR="00BD1E20">
        <w:rPr>
          <w:rStyle w:val="FootnoteReference"/>
          <w:rFonts w:cs="Calibri"/>
        </w:rPr>
        <w:footnoteReference w:id="4"/>
      </w:r>
      <w:r w:rsidR="00C54266" w:rsidRPr="006C5C27">
        <w:rPr>
          <w:rFonts w:cs="Calibri"/>
        </w:rPr>
        <w:t xml:space="preserve"> </w:t>
      </w:r>
      <w:r w:rsidR="00493E86" w:rsidRPr="006C5C27">
        <w:rPr>
          <w:rFonts w:cs="Calibri"/>
        </w:rPr>
        <w:t xml:space="preserve">This </w:t>
      </w:r>
      <w:r w:rsidR="00254E14" w:rsidRPr="006C5C27">
        <w:rPr>
          <w:rFonts w:cs="Calibri"/>
        </w:rPr>
        <w:t xml:space="preserve">higher LMITO </w:t>
      </w:r>
      <w:r w:rsidR="00611655">
        <w:rPr>
          <w:rFonts w:cs="Calibri"/>
        </w:rPr>
        <w:t xml:space="preserve">replaced the initial </w:t>
      </w:r>
      <w:r w:rsidR="00A6178B">
        <w:rPr>
          <w:rFonts w:cs="Calibri"/>
        </w:rPr>
        <w:t xml:space="preserve">offset amounts </w:t>
      </w:r>
      <w:r w:rsidR="00611655">
        <w:rPr>
          <w:rFonts w:cs="Calibri"/>
        </w:rPr>
        <w:t>for</w:t>
      </w:r>
      <w:r w:rsidR="00493E86" w:rsidRPr="006C5C27">
        <w:rPr>
          <w:rFonts w:cs="Calibri"/>
        </w:rPr>
        <w:t xml:space="preserve"> the 2018–19 financial year</w:t>
      </w:r>
      <w:r w:rsidR="00611655">
        <w:rPr>
          <w:rFonts w:cs="Calibri"/>
        </w:rPr>
        <w:t xml:space="preserve"> and thereafter</w:t>
      </w:r>
      <w:r w:rsidR="00493E86" w:rsidRPr="006C5C27">
        <w:rPr>
          <w:rFonts w:cs="Calibri"/>
        </w:rPr>
        <w:t>.</w:t>
      </w:r>
    </w:p>
    <w:p w14:paraId="328BFCC7" w14:textId="7C8C213D" w:rsidR="000C6F28" w:rsidRPr="006C5C27" w:rsidRDefault="004872E4" w:rsidP="00D0494E">
      <w:pPr>
        <w:rPr>
          <w:rFonts w:cs="Calibri"/>
        </w:rPr>
      </w:pPr>
      <w:r w:rsidRPr="00132F27">
        <w:rPr>
          <w:rFonts w:cs="Calibri"/>
        </w:rPr>
        <w:t>In the 2019–20 Review, Ai Group pointed out that ‘the amount of LMITO made available to taxpayers in</w:t>
      </w:r>
      <w:r w:rsidRPr="006C5C27">
        <w:rPr>
          <w:rFonts w:cs="Calibri"/>
        </w:rPr>
        <w:t xml:space="preserve"> respect of income earned in the 2018–19 year was larger than the LMITO factored into last year’s Review [the 2018–19 Review]’ and submitted that ‘the higher rate of LMITO be taken into account in this year’s decision [the 2019–20 Review]’.</w:t>
      </w:r>
      <w:r w:rsidR="00894BD9" w:rsidRPr="006C5C27">
        <w:rPr>
          <w:rStyle w:val="FootnoteReference"/>
          <w:rFonts w:ascii="Calibri" w:hAnsi="Calibri" w:cs="Calibri"/>
        </w:rPr>
        <w:footnoteReference w:id="5"/>
      </w:r>
    </w:p>
    <w:p w14:paraId="14CEB463" w14:textId="3161AAA3" w:rsidR="00D0494E" w:rsidRPr="00132F27" w:rsidRDefault="004872E4" w:rsidP="00D0494E">
      <w:pPr>
        <w:rPr>
          <w:rFonts w:cs="Calibri"/>
        </w:rPr>
      </w:pPr>
      <w:r w:rsidRPr="00132F27">
        <w:rPr>
          <w:rFonts w:cs="Calibri"/>
        </w:rPr>
        <w:t xml:space="preserve">As such, the Panel affirmed its position that it is not appropriate to apply a direct, quantifiable discount to the increase </w:t>
      </w:r>
      <w:r w:rsidR="007434D8" w:rsidRPr="00132F27">
        <w:rPr>
          <w:rFonts w:cs="Calibri"/>
        </w:rPr>
        <w:t>that</w:t>
      </w:r>
      <w:r w:rsidRPr="00132F27">
        <w:rPr>
          <w:rFonts w:cs="Calibri"/>
        </w:rPr>
        <w:t xml:space="preserve"> would have </w:t>
      </w:r>
      <w:r w:rsidR="007434D8" w:rsidRPr="00132F27">
        <w:rPr>
          <w:rFonts w:cs="Calibri"/>
        </w:rPr>
        <w:t xml:space="preserve">been </w:t>
      </w:r>
      <w:r w:rsidRPr="00132F27">
        <w:rPr>
          <w:rFonts w:cs="Calibri"/>
        </w:rPr>
        <w:t xml:space="preserve">awarded in the absence of such changes, but that these changes were a moderating factor in </w:t>
      </w:r>
      <w:r w:rsidR="00270DE6" w:rsidRPr="00132F27">
        <w:rPr>
          <w:rFonts w:cs="Calibri"/>
        </w:rPr>
        <w:t>its</w:t>
      </w:r>
      <w:r w:rsidRPr="00132F27">
        <w:rPr>
          <w:rFonts w:cs="Calibri"/>
        </w:rPr>
        <w:t xml:space="preserve"> assessment of the appropriate level of the NMW and modern award minimum wages arising from the Review.</w:t>
      </w:r>
      <w:r w:rsidR="008015B7" w:rsidRPr="00132F27">
        <w:rPr>
          <w:rStyle w:val="FootnoteReference"/>
          <w:rFonts w:ascii="Calibri" w:hAnsi="Calibri" w:cs="Calibri"/>
        </w:rPr>
        <w:footnoteReference w:id="6"/>
      </w:r>
    </w:p>
    <w:p w14:paraId="4D28FF22" w14:textId="5C0310DD" w:rsidR="00270DE6" w:rsidRPr="006C5C27" w:rsidRDefault="007B1A3C" w:rsidP="00D0494E">
      <w:pPr>
        <w:rPr>
          <w:rFonts w:cs="Calibri"/>
        </w:rPr>
      </w:pPr>
      <w:r w:rsidRPr="00132F27">
        <w:rPr>
          <w:rFonts w:cs="Calibri"/>
        </w:rPr>
        <w:t>I</w:t>
      </w:r>
      <w:r w:rsidR="00390BAE" w:rsidRPr="00132F27">
        <w:rPr>
          <w:rFonts w:cs="Calibri"/>
        </w:rPr>
        <w:t>n</w:t>
      </w:r>
      <w:r w:rsidRPr="00132F27">
        <w:rPr>
          <w:rFonts w:cs="Calibri"/>
        </w:rPr>
        <w:t xml:space="preserve"> the 2020–21 Review, </w:t>
      </w:r>
      <w:r w:rsidR="004A591C" w:rsidRPr="00132F27">
        <w:rPr>
          <w:rFonts w:cs="Calibri"/>
        </w:rPr>
        <w:t>t</w:t>
      </w:r>
      <w:r w:rsidR="00390BAE" w:rsidRPr="00132F27">
        <w:rPr>
          <w:rFonts w:cs="Calibri"/>
        </w:rPr>
        <w:t>he ACTU argued that the retention of the LMITO for the next financial year mean</w:t>
      </w:r>
      <w:r w:rsidR="009859C7" w:rsidRPr="00132F27">
        <w:rPr>
          <w:rFonts w:cs="Calibri"/>
        </w:rPr>
        <w:t>t</w:t>
      </w:r>
      <w:r w:rsidR="00390BAE" w:rsidRPr="00132F27">
        <w:rPr>
          <w:rFonts w:cs="Calibri"/>
        </w:rPr>
        <w:t xml:space="preserve"> no</w:t>
      </w:r>
      <w:r w:rsidR="00390BAE" w:rsidRPr="00390BAE">
        <w:rPr>
          <w:rFonts w:cs="Calibri"/>
        </w:rPr>
        <w:t xml:space="preserve"> change in the net position for impacted workers relative to the current state.</w:t>
      </w:r>
      <w:r w:rsidR="00390BAE">
        <w:rPr>
          <w:rFonts w:cs="Calibri"/>
        </w:rPr>
        <w:t xml:space="preserve"> This was accepted by the Panel.</w:t>
      </w:r>
      <w:r w:rsidR="00390BAE">
        <w:rPr>
          <w:rStyle w:val="FootnoteReference"/>
          <w:rFonts w:cs="Calibri"/>
        </w:rPr>
        <w:footnoteReference w:id="7"/>
      </w:r>
    </w:p>
    <w:p w14:paraId="43C8AA7E" w14:textId="3DEDDC3F" w:rsidR="005E3C69" w:rsidRPr="006C5C27" w:rsidRDefault="005E3C69" w:rsidP="002A5FC8">
      <w:pPr>
        <w:pStyle w:val="Heading3"/>
        <w:rPr>
          <w:lang w:val="en-US"/>
        </w:rPr>
      </w:pPr>
      <w:bookmarkStart w:id="8" w:name="_Toc100574394"/>
      <w:bookmarkStart w:id="9" w:name="_Toc103351184"/>
      <w:r w:rsidRPr="006C5C27">
        <w:rPr>
          <w:lang w:val="en-US"/>
        </w:rPr>
        <w:t>Increasing the LMITO for the 2021–22 financial year</w:t>
      </w:r>
      <w:bookmarkEnd w:id="8"/>
      <w:bookmarkEnd w:id="9"/>
    </w:p>
    <w:p w14:paraId="21604BA5" w14:textId="16331462" w:rsidR="00DF3A46" w:rsidRPr="006C5C27" w:rsidRDefault="008302F3" w:rsidP="00C71F06">
      <w:pPr>
        <w:rPr>
          <w:rFonts w:cs="Calibri"/>
        </w:rPr>
      </w:pPr>
      <w:r w:rsidRPr="006C5C27">
        <w:rPr>
          <w:rFonts w:cs="Calibri"/>
        </w:rPr>
        <w:t xml:space="preserve">The 2022–23 Budget proposed increasing </w:t>
      </w:r>
      <w:r w:rsidR="005E3C69" w:rsidRPr="006C5C27">
        <w:rPr>
          <w:rFonts w:cs="Calibri"/>
        </w:rPr>
        <w:t xml:space="preserve">the LMITO </w:t>
      </w:r>
      <w:r w:rsidR="0028223E">
        <w:rPr>
          <w:rFonts w:cs="Calibri"/>
        </w:rPr>
        <w:t xml:space="preserve">covering the 2021–22 income year </w:t>
      </w:r>
      <w:r w:rsidR="005E3C69" w:rsidRPr="006C5C27">
        <w:rPr>
          <w:rFonts w:cs="Calibri"/>
        </w:rPr>
        <w:t>by $420</w:t>
      </w:r>
      <w:r w:rsidR="00A64826" w:rsidRPr="006C5C27">
        <w:rPr>
          <w:rFonts w:cs="Calibri"/>
        </w:rPr>
        <w:t xml:space="preserve"> (</w:t>
      </w:r>
      <w:r w:rsidR="00DA3FD5">
        <w:rPr>
          <w:rFonts w:cs="Calibri"/>
        </w:rPr>
        <w:t xml:space="preserve">called the </w:t>
      </w:r>
      <w:r w:rsidR="007351DE" w:rsidRPr="006C5C27">
        <w:rPr>
          <w:rFonts w:cs="Calibri"/>
        </w:rPr>
        <w:t>Cost of living tax offset)</w:t>
      </w:r>
      <w:r w:rsidR="00DA3FD5">
        <w:rPr>
          <w:rFonts w:cs="Calibri"/>
        </w:rPr>
        <w:t xml:space="preserve">. </w:t>
      </w:r>
      <w:r w:rsidR="00CE26B3" w:rsidRPr="006C5C27">
        <w:rPr>
          <w:rFonts w:cs="Calibri"/>
        </w:rPr>
        <w:t xml:space="preserve">All LMITO recipients will </w:t>
      </w:r>
      <w:r w:rsidR="003B428C">
        <w:rPr>
          <w:rFonts w:cs="Calibri"/>
        </w:rPr>
        <w:t>receive</w:t>
      </w:r>
      <w:r w:rsidR="00CE26B3" w:rsidRPr="006C5C27">
        <w:rPr>
          <w:rFonts w:cs="Calibri"/>
        </w:rPr>
        <w:t xml:space="preserve"> the </w:t>
      </w:r>
      <w:r w:rsidR="00E56F2F">
        <w:rPr>
          <w:rFonts w:cs="Calibri"/>
        </w:rPr>
        <w:t xml:space="preserve">additional </w:t>
      </w:r>
      <w:r w:rsidR="00CE26B3" w:rsidRPr="006C5C27">
        <w:rPr>
          <w:rFonts w:cs="Calibri"/>
        </w:rPr>
        <w:t xml:space="preserve">$420 </w:t>
      </w:r>
      <w:r w:rsidR="00E56F2F">
        <w:rPr>
          <w:rFonts w:cs="Calibri"/>
        </w:rPr>
        <w:t>offset</w:t>
      </w:r>
      <w:r w:rsidR="00CE26B3" w:rsidRPr="006C5C27">
        <w:rPr>
          <w:rFonts w:cs="Calibri"/>
        </w:rPr>
        <w:t xml:space="preserve"> except those that do not require the full offset to reduce their tax liability to zero.</w:t>
      </w:r>
      <w:r w:rsidR="00CE26B3">
        <w:rPr>
          <w:rFonts w:cs="Calibri"/>
        </w:rPr>
        <w:t xml:space="preserve"> </w:t>
      </w:r>
      <w:r w:rsidR="00DA3FD5">
        <w:rPr>
          <w:rFonts w:cs="Calibri"/>
        </w:rPr>
        <w:t>Th</w:t>
      </w:r>
      <w:r w:rsidR="00E56F2F">
        <w:rPr>
          <w:rFonts w:cs="Calibri"/>
        </w:rPr>
        <w:t xml:space="preserve">e </w:t>
      </w:r>
      <w:r w:rsidR="005E3C69" w:rsidRPr="006C5C27">
        <w:rPr>
          <w:rFonts w:cs="Calibri"/>
        </w:rPr>
        <w:t xml:space="preserve">maximum LMITO benefit </w:t>
      </w:r>
      <w:r w:rsidR="00E56F2F">
        <w:rPr>
          <w:rFonts w:cs="Calibri"/>
        </w:rPr>
        <w:t xml:space="preserve">therefore increases </w:t>
      </w:r>
      <w:r w:rsidR="00AB7ECB">
        <w:rPr>
          <w:rFonts w:cs="Calibri"/>
        </w:rPr>
        <w:t>from $1080</w:t>
      </w:r>
      <w:r w:rsidR="005E3C69" w:rsidRPr="006C5C27">
        <w:rPr>
          <w:rFonts w:cs="Calibri"/>
        </w:rPr>
        <w:t xml:space="preserve"> to $1500</w:t>
      </w:r>
      <w:r w:rsidR="00E56F2F">
        <w:rPr>
          <w:rFonts w:cs="Calibri"/>
        </w:rPr>
        <w:t>. No</w:t>
      </w:r>
      <w:r w:rsidR="00CE26B3">
        <w:rPr>
          <w:rFonts w:cs="Calibri"/>
        </w:rPr>
        <w:t xml:space="preserve"> other changes are made to </w:t>
      </w:r>
      <w:r w:rsidR="00E56F2F">
        <w:rPr>
          <w:rFonts w:cs="Calibri"/>
        </w:rPr>
        <w:t xml:space="preserve">the LMITO </w:t>
      </w:r>
      <w:r w:rsidR="00CE26B3">
        <w:rPr>
          <w:rFonts w:cs="Calibri"/>
        </w:rPr>
        <w:t xml:space="preserve">thresholds or </w:t>
      </w:r>
      <w:r w:rsidR="00360E29">
        <w:rPr>
          <w:rFonts w:cs="Calibri"/>
        </w:rPr>
        <w:t>the rates it is increased or withdrawn</w:t>
      </w:r>
      <w:r w:rsidR="005E3C69" w:rsidRPr="006C5C27">
        <w:rPr>
          <w:rFonts w:cs="Calibri"/>
        </w:rPr>
        <w:t>.</w:t>
      </w:r>
      <w:r w:rsidR="005E3C69" w:rsidRPr="006C5C27">
        <w:rPr>
          <w:rStyle w:val="FootnoteReference"/>
          <w:rFonts w:ascii="Calibri" w:hAnsi="Calibri" w:cs="Calibri"/>
        </w:rPr>
        <w:footnoteReference w:id="8"/>
      </w:r>
      <w:r w:rsidR="005E3C69" w:rsidRPr="006C5C27">
        <w:rPr>
          <w:rFonts w:cs="Calibri"/>
        </w:rPr>
        <w:t xml:space="preserve"> Consistent with the current LMITO, taxpayers with incomes of $126</w:t>
      </w:r>
      <w:r w:rsidR="009676A9" w:rsidRPr="006C5C27">
        <w:rPr>
          <w:rFonts w:cs="Calibri"/>
        </w:rPr>
        <w:t> </w:t>
      </w:r>
      <w:r w:rsidR="005E3C69" w:rsidRPr="006C5C27">
        <w:rPr>
          <w:rFonts w:cs="Calibri"/>
        </w:rPr>
        <w:t>000 or more will not receive the additional $420.</w:t>
      </w:r>
      <w:r w:rsidR="005E3C69" w:rsidRPr="006C5C27">
        <w:rPr>
          <w:rStyle w:val="FootnoteReference"/>
          <w:rFonts w:ascii="Calibri" w:hAnsi="Calibri" w:cs="Calibri"/>
        </w:rPr>
        <w:footnoteReference w:id="9"/>
      </w:r>
      <w:r w:rsidR="005E3C69" w:rsidRPr="006C5C27">
        <w:rPr>
          <w:rFonts w:cs="Calibri"/>
        </w:rPr>
        <w:t xml:space="preserve"> </w:t>
      </w:r>
      <w:r w:rsidR="005D03C4">
        <w:rPr>
          <w:rFonts w:cs="Calibri"/>
        </w:rPr>
        <w:t>Th</w:t>
      </w:r>
      <w:r w:rsidR="00360E29">
        <w:rPr>
          <w:rFonts w:cs="Calibri"/>
        </w:rPr>
        <w:t>e LMITO</w:t>
      </w:r>
      <w:r w:rsidR="005D03C4">
        <w:rPr>
          <w:rFonts w:cs="Calibri"/>
        </w:rPr>
        <w:t xml:space="preserve"> will </w:t>
      </w:r>
      <w:r w:rsidR="000B27A6">
        <w:rPr>
          <w:rFonts w:cs="Calibri"/>
        </w:rPr>
        <w:t>be payable once tax returns are lodged from 1 July 2022.</w:t>
      </w:r>
    </w:p>
    <w:p w14:paraId="61ED2841" w14:textId="6C31B300" w:rsidR="008302F3" w:rsidRPr="006C5C27" w:rsidRDefault="00534CCA" w:rsidP="002A5FC8">
      <w:pPr>
        <w:pStyle w:val="Heading3"/>
      </w:pPr>
      <w:bookmarkStart w:id="10" w:name="_Toc103351185"/>
      <w:r w:rsidRPr="006C5C27">
        <w:t>What have parties said</w:t>
      </w:r>
      <w:r w:rsidR="00D80936">
        <w:t xml:space="preserve"> in this Review</w:t>
      </w:r>
      <w:r w:rsidRPr="006C5C27">
        <w:t>?</w:t>
      </w:r>
      <w:bookmarkEnd w:id="10"/>
    </w:p>
    <w:p w14:paraId="58B3A21C" w14:textId="2168B965" w:rsidR="00A44D42" w:rsidRPr="00132F27" w:rsidRDefault="00C5273A" w:rsidP="00A44D42">
      <w:pPr>
        <w:rPr>
          <w:rFonts w:cs="Calibri"/>
        </w:rPr>
      </w:pPr>
      <w:r w:rsidRPr="00132F27">
        <w:rPr>
          <w:rFonts w:cs="Calibri"/>
        </w:rPr>
        <w:t xml:space="preserve">ACCI </w:t>
      </w:r>
      <w:r w:rsidR="00E81848" w:rsidRPr="00132F27">
        <w:rPr>
          <w:rFonts w:cs="Calibri"/>
        </w:rPr>
        <w:t>argued that this measure should be taken into account in this year’s Review</w:t>
      </w:r>
      <w:r w:rsidR="00534CCA" w:rsidRPr="00132F27">
        <w:rPr>
          <w:rStyle w:val="FootnoteReference"/>
          <w:rFonts w:ascii="Calibri" w:hAnsi="Calibri" w:cs="Calibri"/>
        </w:rPr>
        <w:footnoteReference w:id="10"/>
      </w:r>
      <w:r w:rsidR="004167A3" w:rsidRPr="00132F27">
        <w:rPr>
          <w:rFonts w:cs="Calibri"/>
        </w:rPr>
        <w:t xml:space="preserve"> </w:t>
      </w:r>
      <w:r w:rsidR="00604B2A" w:rsidRPr="00132F27">
        <w:rPr>
          <w:rFonts w:cs="Calibri"/>
        </w:rPr>
        <w:t xml:space="preserve">and </w:t>
      </w:r>
      <w:r w:rsidR="004167A3" w:rsidRPr="00132F27">
        <w:rPr>
          <w:rFonts w:cs="Calibri"/>
        </w:rPr>
        <w:t>that all household types</w:t>
      </w:r>
      <w:r w:rsidR="004167A3" w:rsidRPr="006C5C27">
        <w:rPr>
          <w:rFonts w:cs="Calibri"/>
        </w:rPr>
        <w:t xml:space="preserve"> </w:t>
      </w:r>
      <w:r w:rsidR="004167A3" w:rsidRPr="00132F27">
        <w:rPr>
          <w:rFonts w:cs="Calibri"/>
        </w:rPr>
        <w:t xml:space="preserve">presented in the Statistical report </w:t>
      </w:r>
      <w:r w:rsidR="002E2069" w:rsidRPr="00132F27">
        <w:rPr>
          <w:rFonts w:cs="Calibri"/>
        </w:rPr>
        <w:t>will receive the additional $420.</w:t>
      </w:r>
      <w:r w:rsidR="00D97C16" w:rsidRPr="00132F27">
        <w:rPr>
          <w:rStyle w:val="FootnoteReference"/>
          <w:rFonts w:ascii="Calibri" w:hAnsi="Calibri" w:cs="Calibri"/>
        </w:rPr>
        <w:footnoteReference w:id="11"/>
      </w:r>
      <w:r w:rsidR="00F34B60" w:rsidRPr="00132F27">
        <w:rPr>
          <w:rFonts w:cs="Calibri"/>
        </w:rPr>
        <w:t xml:space="preserve"> Ai Group submitted that </w:t>
      </w:r>
      <w:r w:rsidR="00D00184" w:rsidRPr="00132F27">
        <w:rPr>
          <w:rFonts w:cs="Calibri"/>
        </w:rPr>
        <w:t>the ‘higher level</w:t>
      </w:r>
      <w:r w:rsidR="00D00184">
        <w:rPr>
          <w:rFonts w:cs="Calibri"/>
        </w:rPr>
        <w:t xml:space="preserve"> </w:t>
      </w:r>
      <w:r w:rsidR="00D00184" w:rsidRPr="00132F27">
        <w:rPr>
          <w:rFonts w:cs="Calibri"/>
        </w:rPr>
        <w:t>of the LMITO should be treated in a consistent way’.</w:t>
      </w:r>
      <w:r w:rsidR="00D00184" w:rsidRPr="00132F27">
        <w:rPr>
          <w:rStyle w:val="FootnoteReference"/>
          <w:rFonts w:cs="Calibri"/>
        </w:rPr>
        <w:footnoteReference w:id="12"/>
      </w:r>
      <w:r w:rsidR="00A44D42" w:rsidRPr="00132F27">
        <w:rPr>
          <w:rFonts w:cs="Calibri"/>
        </w:rPr>
        <w:t xml:space="preserve"> NRA submitted that 2022–23 Budget measures ‘will contribute to further easing of cost-of-living pressures during the period under consideration for the current Review’.</w:t>
      </w:r>
      <w:r w:rsidR="00A44D42" w:rsidRPr="00132F27">
        <w:rPr>
          <w:rStyle w:val="FootnoteReference"/>
          <w:rFonts w:ascii="Calibri" w:hAnsi="Calibri" w:cs="Calibri"/>
        </w:rPr>
        <w:footnoteReference w:id="13"/>
      </w:r>
    </w:p>
    <w:p w14:paraId="2B63BC14" w14:textId="77777777" w:rsidR="00B22BCC" w:rsidRPr="00132F27" w:rsidRDefault="007E1D36" w:rsidP="008D069D">
      <w:pPr>
        <w:rPr>
          <w:rFonts w:cs="Calibri"/>
        </w:rPr>
      </w:pPr>
      <w:r w:rsidRPr="00132F27">
        <w:rPr>
          <w:rFonts w:cs="Calibri"/>
        </w:rPr>
        <w:t xml:space="preserve">The ACTU argued that </w:t>
      </w:r>
      <w:r w:rsidR="00FD1BD6" w:rsidRPr="00132F27">
        <w:rPr>
          <w:rFonts w:cs="Calibri"/>
        </w:rPr>
        <w:t>the LMITO ‘</w:t>
      </w:r>
      <w:r w:rsidR="008D069D" w:rsidRPr="00132F27">
        <w:rPr>
          <w:rFonts w:cs="Calibri"/>
        </w:rPr>
        <w:t>is not recurrent income that can sensibly be allocated to a material change in living standards over the year ahead</w:t>
      </w:r>
      <w:r w:rsidR="00FD1BD6" w:rsidRPr="00132F27">
        <w:rPr>
          <w:rFonts w:cs="Calibri"/>
        </w:rPr>
        <w:t>’.</w:t>
      </w:r>
      <w:r w:rsidR="00FD1BD6" w:rsidRPr="00132F27">
        <w:rPr>
          <w:rStyle w:val="FootnoteReference"/>
          <w:rFonts w:ascii="Calibri" w:hAnsi="Calibri" w:cs="Calibri"/>
        </w:rPr>
        <w:footnoteReference w:id="14"/>
      </w:r>
      <w:r w:rsidR="00AD5213" w:rsidRPr="00132F27">
        <w:rPr>
          <w:rFonts w:cs="Calibri"/>
        </w:rPr>
        <w:t xml:space="preserve"> The ACTU also noted that it does not apply to those earning less than the tax-free threshold of $18 200</w:t>
      </w:r>
      <w:r w:rsidR="00FA1A2B" w:rsidRPr="00132F27">
        <w:rPr>
          <w:rFonts w:cs="Calibri"/>
        </w:rPr>
        <w:t xml:space="preserve"> and that ‘</w:t>
      </w:r>
      <w:r w:rsidR="001678FB" w:rsidRPr="00132F27">
        <w:rPr>
          <w:rFonts w:cs="Calibri"/>
        </w:rPr>
        <w:t>the lowest paid will not benefit’</w:t>
      </w:r>
      <w:r w:rsidR="00AD5213" w:rsidRPr="00132F27">
        <w:rPr>
          <w:rFonts w:cs="Calibri"/>
        </w:rPr>
        <w:t>.</w:t>
      </w:r>
      <w:r w:rsidR="00AD5213" w:rsidRPr="00132F27">
        <w:rPr>
          <w:rStyle w:val="FootnoteReference"/>
          <w:rFonts w:ascii="Calibri" w:hAnsi="Calibri" w:cs="Calibri"/>
        </w:rPr>
        <w:footnoteReference w:id="15"/>
      </w:r>
      <w:r w:rsidR="00B22BCC" w:rsidRPr="00132F27">
        <w:rPr>
          <w:rFonts w:cs="Calibri"/>
        </w:rPr>
        <w:t xml:space="preserve"> </w:t>
      </w:r>
    </w:p>
    <w:p w14:paraId="50DBA998" w14:textId="1067A888" w:rsidR="008E1121" w:rsidRPr="00132F27" w:rsidRDefault="00B22BCC" w:rsidP="00FD1BD6">
      <w:pPr>
        <w:rPr>
          <w:rFonts w:cs="Calibri"/>
        </w:rPr>
      </w:pPr>
      <w:r w:rsidRPr="00132F27">
        <w:rPr>
          <w:rFonts w:cs="Calibri"/>
        </w:rPr>
        <w:t>ACCER agreed with ACTU’s position.</w:t>
      </w:r>
      <w:r w:rsidRPr="00132F27">
        <w:rPr>
          <w:rStyle w:val="FootnoteReference"/>
          <w:rFonts w:ascii="Calibri" w:hAnsi="Calibri" w:cs="Calibri"/>
        </w:rPr>
        <w:footnoteReference w:id="16"/>
      </w:r>
      <w:r w:rsidRPr="00132F27">
        <w:rPr>
          <w:rFonts w:cs="Calibri"/>
        </w:rPr>
        <w:t xml:space="preserve"> </w:t>
      </w:r>
      <w:r w:rsidR="00A767F3" w:rsidRPr="00132F27">
        <w:rPr>
          <w:rFonts w:cs="Calibri"/>
        </w:rPr>
        <w:t>ACCER</w:t>
      </w:r>
      <w:r w:rsidR="00E87F4E" w:rsidRPr="00132F27">
        <w:rPr>
          <w:rFonts w:cs="Calibri"/>
        </w:rPr>
        <w:t xml:space="preserve"> also</w:t>
      </w:r>
      <w:r w:rsidR="00A767F3" w:rsidRPr="00132F27">
        <w:rPr>
          <w:rFonts w:cs="Calibri"/>
        </w:rPr>
        <w:t xml:space="preserve"> </w:t>
      </w:r>
      <w:r w:rsidR="00BD35B6" w:rsidRPr="00132F27">
        <w:rPr>
          <w:rFonts w:cs="Calibri"/>
        </w:rPr>
        <w:t>stated that</w:t>
      </w:r>
      <w:r w:rsidR="00A767F3" w:rsidRPr="00132F27">
        <w:rPr>
          <w:rFonts w:cs="Calibri"/>
        </w:rPr>
        <w:t>:</w:t>
      </w:r>
    </w:p>
    <w:p w14:paraId="013732B6" w14:textId="192204F8" w:rsidR="008E1121" w:rsidRPr="004320BD" w:rsidRDefault="00BD35B6" w:rsidP="009120E0">
      <w:pPr>
        <w:pStyle w:val="Quote"/>
        <w:rPr>
          <w:rFonts w:cs="Calibri"/>
          <w:i w:val="0"/>
          <w:iCs w:val="0"/>
        </w:rPr>
      </w:pPr>
      <w:r w:rsidRPr="006C5C27">
        <w:rPr>
          <w:rFonts w:cs="Calibri"/>
        </w:rPr>
        <w:t>In circumstances where the LMITO will not be effected until 1 July 2022, it is argued that this matter should not be a consideration for the Expert Panel in this year's review.</w:t>
      </w:r>
      <w:r w:rsidR="004320BD">
        <w:rPr>
          <w:rStyle w:val="FootnoteReference"/>
          <w:rFonts w:cs="Calibri"/>
        </w:rPr>
        <w:footnoteReference w:id="17"/>
      </w:r>
    </w:p>
    <w:p w14:paraId="12EFCD86" w14:textId="43879E22" w:rsidR="009120E0" w:rsidRPr="006C5C27" w:rsidRDefault="009120E0" w:rsidP="00C71F06">
      <w:pPr>
        <w:rPr>
          <w:rFonts w:cs="Calibri"/>
        </w:rPr>
      </w:pPr>
      <w:r w:rsidRPr="006C5C27">
        <w:rPr>
          <w:rFonts w:cs="Calibri"/>
        </w:rPr>
        <w:t>This</w:t>
      </w:r>
      <w:r w:rsidR="00B22BCC">
        <w:rPr>
          <w:rFonts w:cs="Calibri"/>
        </w:rPr>
        <w:t xml:space="preserve"> statement</w:t>
      </w:r>
      <w:r w:rsidRPr="006C5C27">
        <w:rPr>
          <w:rFonts w:cs="Calibri"/>
        </w:rPr>
        <w:t xml:space="preserve"> was </w:t>
      </w:r>
      <w:r w:rsidR="00B22BCC">
        <w:rPr>
          <w:rFonts w:cs="Calibri"/>
        </w:rPr>
        <w:t xml:space="preserve">made </w:t>
      </w:r>
      <w:r w:rsidRPr="006C5C27">
        <w:rPr>
          <w:rFonts w:cs="Calibri"/>
        </w:rPr>
        <w:t xml:space="preserve">in relation to the Panel stating that </w:t>
      </w:r>
      <w:r w:rsidR="00B701C0" w:rsidRPr="006C5C27">
        <w:rPr>
          <w:rFonts w:cs="Calibri"/>
        </w:rPr>
        <w:t xml:space="preserve">the initial </w:t>
      </w:r>
      <w:r w:rsidR="009677E3" w:rsidRPr="006C5C27">
        <w:rPr>
          <w:rFonts w:cs="Calibri"/>
        </w:rPr>
        <w:t>year of the LMITO</w:t>
      </w:r>
      <w:r w:rsidR="00BF5D94" w:rsidRPr="006C5C27">
        <w:rPr>
          <w:rFonts w:cs="Calibri"/>
        </w:rPr>
        <w:t xml:space="preserve"> (for the 2</w:t>
      </w:r>
      <w:r w:rsidR="001C5EDD" w:rsidRPr="006C5C27">
        <w:rPr>
          <w:rFonts w:cs="Calibri"/>
        </w:rPr>
        <w:t>018–19 financial year and payable from 1 July 2019) ‘would not as a practical matter provide any financial benefits to employed persons on or before 30 June 2019, the Panel does not propose to take them into account in this Review.’</w:t>
      </w:r>
      <w:r w:rsidR="001C5EDD" w:rsidRPr="006C5C27">
        <w:rPr>
          <w:rStyle w:val="FootnoteReference"/>
          <w:rFonts w:ascii="Calibri" w:hAnsi="Calibri" w:cs="Calibri"/>
        </w:rPr>
        <w:footnoteReference w:id="18"/>
      </w:r>
    </w:p>
    <w:p w14:paraId="0931A370" w14:textId="1B875870" w:rsidR="00BB12BB" w:rsidRPr="008E1A75" w:rsidRDefault="001D1C98" w:rsidP="002A5FC8">
      <w:pPr>
        <w:pStyle w:val="Heading4"/>
      </w:pPr>
      <w:r w:rsidRPr="008E1A75">
        <w:t>Q</w:t>
      </w:r>
      <w:r w:rsidR="00BB12BB" w:rsidRPr="008E1A75">
        <w:t>uestion for Treasury:</w:t>
      </w:r>
    </w:p>
    <w:p w14:paraId="087D4C5E" w14:textId="6AF8B160" w:rsidR="00BB12BB" w:rsidRDefault="00372397" w:rsidP="00C71F06">
      <w:pPr>
        <w:rPr>
          <w:rFonts w:cs="Calibri"/>
        </w:rPr>
      </w:pPr>
      <w:r w:rsidRPr="008E1A75">
        <w:rPr>
          <w:rFonts w:cs="Calibri"/>
        </w:rPr>
        <w:t xml:space="preserve">The </w:t>
      </w:r>
      <w:r w:rsidR="001C4087" w:rsidRPr="008E1A75">
        <w:rPr>
          <w:rFonts w:cs="Calibri"/>
        </w:rPr>
        <w:t xml:space="preserve">announcement of the LMITO noted that it would </w:t>
      </w:r>
      <w:r w:rsidR="00E57D7B" w:rsidRPr="008E1A75">
        <w:rPr>
          <w:rFonts w:cs="Calibri"/>
        </w:rPr>
        <w:t xml:space="preserve">operate </w:t>
      </w:r>
      <w:r w:rsidR="001C4087" w:rsidRPr="008E1A75">
        <w:rPr>
          <w:rFonts w:cs="Calibri"/>
        </w:rPr>
        <w:t>in conjunction with the low income tax offset (LITO), for incomes up to $37 000.</w:t>
      </w:r>
      <w:r w:rsidR="007910FC" w:rsidRPr="008E1A75">
        <w:rPr>
          <w:rFonts w:cs="Calibri"/>
        </w:rPr>
        <w:t xml:space="preserve"> Can you provide further information on the LITO amount and how or whether it still </w:t>
      </w:r>
      <w:r w:rsidR="00E57D7B" w:rsidRPr="008E1A75">
        <w:rPr>
          <w:rFonts w:cs="Calibri"/>
        </w:rPr>
        <w:t>operates</w:t>
      </w:r>
      <w:r w:rsidR="007910FC" w:rsidRPr="008E1A75">
        <w:rPr>
          <w:rFonts w:cs="Calibri"/>
        </w:rPr>
        <w:t xml:space="preserve"> in the same way?</w:t>
      </w:r>
    </w:p>
    <w:p w14:paraId="61B99B18" w14:textId="168C120E" w:rsidR="002A5FC8" w:rsidRDefault="00864AD1" w:rsidP="002A5FC8">
      <w:pPr>
        <w:pStyle w:val="Heading2"/>
      </w:pPr>
      <w:bookmarkStart w:id="11" w:name="_Toc103351186"/>
      <w:r>
        <w:t>Temporary reduction in f</w:t>
      </w:r>
      <w:r w:rsidR="002A5FC8">
        <w:t>uel excise</w:t>
      </w:r>
      <w:bookmarkEnd w:id="11"/>
    </w:p>
    <w:p w14:paraId="5474F1D0" w14:textId="33B1FB15" w:rsidR="00864AD1" w:rsidRDefault="00864AD1" w:rsidP="00864AD1">
      <w:r>
        <w:t>As discussed in additional material</w:t>
      </w:r>
      <w:r w:rsidR="00412ACF">
        <w:t xml:space="preserve"> published for this Review</w:t>
      </w:r>
      <w:r>
        <w:t>,</w:t>
      </w:r>
      <w:r w:rsidR="008674AC">
        <w:rPr>
          <w:rStyle w:val="FootnoteReference"/>
        </w:rPr>
        <w:footnoteReference w:id="19"/>
      </w:r>
      <w:r>
        <w:t xml:space="preserve"> </w:t>
      </w:r>
      <w:r w:rsidR="008674AC">
        <w:t>t</w:t>
      </w:r>
      <w:r>
        <w:t>he fuel excise and excise-equivalent customs duty rate that applies to petrol and diesel will be halved for 6 months. The excise and excise-equivalent customs duty rates for all other fuel and petroleum-based products, except aviation fuels, will also be reduced by 50 per cent for 6 months.</w:t>
      </w:r>
    </w:p>
    <w:p w14:paraId="19A4AF65" w14:textId="308FF503" w:rsidR="00864AD1" w:rsidRDefault="00864AD1" w:rsidP="00864AD1">
      <w:r>
        <w:t>The measure commence</w:t>
      </w:r>
      <w:r w:rsidR="00412ACF">
        <w:t>d</w:t>
      </w:r>
      <w:r>
        <w:t xml:space="preserve"> from 12.01am on 30 March 2022 and </w:t>
      </w:r>
      <w:r w:rsidR="00412ACF">
        <w:t xml:space="preserve">will </w:t>
      </w:r>
      <w:r>
        <w:t>end at 11.59pm on 28 September 2022. Under the measure, existing policy settings for fuel excise and excise-equivalent customs duty, including indexation in August, will continue but on the basis of the halved rates. At the conclusion of the 6-month period, the excise and excise-equivalent customs duty rates will then revert to previous rates, including indexation that would have occurred on those rates during the 6-month period.</w:t>
      </w:r>
    </w:p>
    <w:p w14:paraId="1DB74431" w14:textId="143FA60B" w:rsidR="00480D95" w:rsidRDefault="00480D95" w:rsidP="00480D95">
      <w:pPr>
        <w:pStyle w:val="Heading3"/>
      </w:pPr>
      <w:bookmarkStart w:id="12" w:name="_Toc103351187"/>
      <w:r w:rsidRPr="006C5C27">
        <w:t>What have parties said</w:t>
      </w:r>
      <w:r w:rsidR="0067639E">
        <w:t xml:space="preserve"> in this Review?</w:t>
      </w:r>
      <w:bookmarkEnd w:id="12"/>
    </w:p>
    <w:p w14:paraId="17D3C86F" w14:textId="353C3317" w:rsidR="00CF1544" w:rsidRDefault="002D469A" w:rsidP="002C6768">
      <w:r>
        <w:t xml:space="preserve">The ACTU submitted that </w:t>
      </w:r>
      <w:r w:rsidR="00ED388C">
        <w:t>‘fuel prices are indeed the major driver of cost of living increases’</w:t>
      </w:r>
      <w:r w:rsidR="00061C34">
        <w:t xml:space="preserve"> and noted that the 2022–23 Budget </w:t>
      </w:r>
      <w:r w:rsidR="009C7489">
        <w:t xml:space="preserve">forecast </w:t>
      </w:r>
      <w:r w:rsidR="00102D30">
        <w:t xml:space="preserve">for inflation is lowered by </w:t>
      </w:r>
      <w:r w:rsidR="009C7489">
        <w:t xml:space="preserve">¼ percentage point </w:t>
      </w:r>
      <w:r w:rsidR="00102D30">
        <w:t>due to the reduction in fuel excise.</w:t>
      </w:r>
      <w:r w:rsidR="00116996">
        <w:t xml:space="preserve"> It fu</w:t>
      </w:r>
      <w:r w:rsidR="002C6768">
        <w:t>r</w:t>
      </w:r>
      <w:r w:rsidR="00116996">
        <w:t>ther submitted that ‘</w:t>
      </w:r>
      <w:r w:rsidR="002C6768">
        <w:t>its impact is too uncertain for it to be regarded as anything other than a neutral factor over the year ahead.</w:t>
      </w:r>
      <w:r w:rsidR="002C6768">
        <w:rPr>
          <w:rStyle w:val="FootnoteReference"/>
        </w:rPr>
        <w:footnoteReference w:id="20"/>
      </w:r>
      <w:r w:rsidR="008200DC" w:rsidRPr="008200DC">
        <w:t xml:space="preserve"> </w:t>
      </w:r>
      <w:r w:rsidR="008200DC">
        <w:t>ACCI submitted that this</w:t>
      </w:r>
      <w:r w:rsidR="005C4878">
        <w:t xml:space="preserve"> would</w:t>
      </w:r>
      <w:r w:rsidR="008200DC">
        <w:t xml:space="preserve"> contribute to ‘</w:t>
      </w:r>
      <w:r w:rsidR="008200DC" w:rsidRPr="004A0E00">
        <w:rPr>
          <w:rFonts w:cstheme="minorHAnsi"/>
        </w:rPr>
        <w:t xml:space="preserve">reducing cost pressures and increasing </w:t>
      </w:r>
      <w:r w:rsidR="0072484A" w:rsidRPr="0072484A">
        <w:rPr>
          <w:rFonts w:cstheme="minorHAnsi"/>
        </w:rPr>
        <w:t xml:space="preserve">the </w:t>
      </w:r>
      <w:r w:rsidR="008200DC" w:rsidRPr="004A0E00">
        <w:rPr>
          <w:rFonts w:cstheme="minorHAnsi"/>
        </w:rPr>
        <w:t xml:space="preserve">household disposable </w:t>
      </w:r>
      <w:r w:rsidR="0072484A" w:rsidRPr="0072484A">
        <w:rPr>
          <w:rFonts w:cstheme="minorHAnsi"/>
        </w:rPr>
        <w:t>income of low-income households</w:t>
      </w:r>
      <w:r w:rsidR="008200DC">
        <w:rPr>
          <w:rFonts w:cstheme="minorHAnsi"/>
        </w:rPr>
        <w:t>’.</w:t>
      </w:r>
      <w:r w:rsidR="008200DC">
        <w:rPr>
          <w:rStyle w:val="FootnoteReference"/>
          <w:rFonts w:cstheme="minorHAnsi"/>
        </w:rPr>
        <w:footnoteReference w:id="21"/>
      </w:r>
    </w:p>
    <w:p w14:paraId="62BA98F3" w14:textId="646212BC" w:rsidR="003F3082" w:rsidRDefault="003F3082" w:rsidP="002C6768">
      <w:r>
        <w:t xml:space="preserve">ARA submitted that </w:t>
      </w:r>
      <w:r w:rsidR="0038476B">
        <w:t>‘</w:t>
      </w:r>
      <w:r w:rsidRPr="003F3082">
        <w:t>it is reasonable to assume that the reduction in fuel excise, and the continued strengthening of the Australian dollar, will put downward pressure on the price of durable goods and produce over the next six months given the proportion of costs that can be attributed to fuel usage along the supply chain. The combined effect of these factors has the potential to maintain underlying inflation at or below current levels through 2022-23.</w:t>
      </w:r>
      <w:r w:rsidR="0038476B">
        <w:t>’</w:t>
      </w:r>
      <w:r w:rsidR="0038476B">
        <w:rPr>
          <w:rStyle w:val="FootnoteReference"/>
        </w:rPr>
        <w:footnoteReference w:id="22"/>
      </w:r>
    </w:p>
    <w:p w14:paraId="12125E42" w14:textId="14639F62" w:rsidR="006E6FE5" w:rsidRDefault="006E6FE5" w:rsidP="00480D95">
      <w:r>
        <w:t xml:space="preserve">Parties were invited to </w:t>
      </w:r>
      <w:r w:rsidR="00480D95">
        <w:t>respon</w:t>
      </w:r>
      <w:r>
        <w:t>d t</w:t>
      </w:r>
      <w:r w:rsidR="00CF1544">
        <w:t>o t</w:t>
      </w:r>
      <w:r>
        <w:t xml:space="preserve">he </w:t>
      </w:r>
      <w:r w:rsidR="009145ED">
        <w:t>additional</w:t>
      </w:r>
      <w:r>
        <w:t xml:space="preserve"> material</w:t>
      </w:r>
      <w:r w:rsidR="00BC1F92">
        <w:t xml:space="preserve"> in their submission in reply.</w:t>
      </w:r>
      <w:r>
        <w:t xml:space="preserve"> </w:t>
      </w:r>
    </w:p>
    <w:p w14:paraId="1D4698DE" w14:textId="680C8B21" w:rsidR="003B01FC" w:rsidRDefault="006E6FE5" w:rsidP="00480D95">
      <w:pPr>
        <w:rPr>
          <w:rFonts w:cstheme="minorHAnsi"/>
        </w:rPr>
      </w:pPr>
      <w:r>
        <w:t>Ai Group submitted that the temporary reduction ‘</w:t>
      </w:r>
      <w:r w:rsidR="007B5DD1" w:rsidRPr="004A0E00">
        <w:rPr>
          <w:rFonts w:cstheme="minorHAnsi"/>
        </w:rPr>
        <w:t>will reduce the costs of living faced by the low paid as for other Australians in the June and September quarters of 2022 and will be reflected in consumer price data for these quarters</w:t>
      </w:r>
      <w:r w:rsidR="007B5DD1">
        <w:rPr>
          <w:rFonts w:cstheme="minorHAnsi"/>
        </w:rPr>
        <w:t>’.</w:t>
      </w:r>
      <w:r w:rsidR="007B5DD1">
        <w:rPr>
          <w:rStyle w:val="FootnoteReference"/>
          <w:rFonts w:cstheme="minorHAnsi"/>
        </w:rPr>
        <w:footnoteReference w:id="23"/>
      </w:r>
      <w:r w:rsidR="002857A6">
        <w:t xml:space="preserve"> </w:t>
      </w:r>
      <w:r w:rsidR="002B5199">
        <w:rPr>
          <w:rFonts w:cstheme="minorHAnsi"/>
        </w:rPr>
        <w:t>N</w:t>
      </w:r>
      <w:r w:rsidR="00715FCC">
        <w:rPr>
          <w:rFonts w:cstheme="minorHAnsi"/>
        </w:rPr>
        <w:t xml:space="preserve">RA submitted that it </w:t>
      </w:r>
      <w:r w:rsidR="00EB4D7F">
        <w:rPr>
          <w:rFonts w:cstheme="minorHAnsi"/>
        </w:rPr>
        <w:t>‘</w:t>
      </w:r>
      <w:r w:rsidR="002B5199" w:rsidRPr="004A0E00">
        <w:rPr>
          <w:rFonts w:cstheme="minorHAnsi"/>
        </w:rPr>
        <w:t>can be expected to have a swift downward effect on headline CPI</w:t>
      </w:r>
      <w:r w:rsidR="002B5199">
        <w:rPr>
          <w:rFonts w:cstheme="minorHAnsi"/>
        </w:rPr>
        <w:t>’.</w:t>
      </w:r>
      <w:r w:rsidR="002B5199">
        <w:rPr>
          <w:rStyle w:val="FootnoteReference"/>
          <w:rFonts w:cstheme="minorHAnsi"/>
        </w:rPr>
        <w:footnoteReference w:id="24"/>
      </w:r>
    </w:p>
    <w:p w14:paraId="36CD427C" w14:textId="162A3F76" w:rsidR="00480D95" w:rsidRPr="00480D95" w:rsidRDefault="00F132A3" w:rsidP="00480D95">
      <w:r>
        <w:rPr>
          <w:rFonts w:cstheme="minorHAnsi"/>
        </w:rPr>
        <w:t>ACCER submitted that it ‘</w:t>
      </w:r>
      <w:r w:rsidR="00096993" w:rsidRPr="004A0E00">
        <w:rPr>
          <w:rFonts w:cstheme="minorHAnsi"/>
        </w:rPr>
        <w:t>has no meaningful effect on lowering the cost of living for low income earners</w:t>
      </w:r>
      <w:r w:rsidR="00096993">
        <w:rPr>
          <w:rFonts w:cstheme="minorHAnsi"/>
        </w:rPr>
        <w:t>’ and that it ‘</w:t>
      </w:r>
      <w:r w:rsidR="008D777B" w:rsidRPr="004A0E00">
        <w:rPr>
          <w:rFonts w:cstheme="minorHAnsi"/>
        </w:rPr>
        <w:t>will give the low paid no security or benefit post September 2022</w:t>
      </w:r>
      <w:r w:rsidR="008D777B">
        <w:rPr>
          <w:rFonts w:cstheme="minorHAnsi"/>
        </w:rPr>
        <w:t>’.</w:t>
      </w:r>
      <w:r w:rsidR="00E54141">
        <w:rPr>
          <w:rStyle w:val="FootnoteReference"/>
          <w:rFonts w:cstheme="minorHAnsi"/>
        </w:rPr>
        <w:footnoteReference w:id="25"/>
      </w:r>
      <w:r w:rsidR="003B01FC">
        <w:rPr>
          <w:rFonts w:cstheme="minorHAnsi"/>
        </w:rPr>
        <w:t xml:space="preserve"> Further, that </w:t>
      </w:r>
      <w:r w:rsidR="007C28A3">
        <w:rPr>
          <w:rFonts w:cstheme="minorHAnsi"/>
        </w:rPr>
        <w:t>‘</w:t>
      </w:r>
      <w:r w:rsidR="000C7DFC" w:rsidRPr="004A0E00">
        <w:rPr>
          <w:rFonts w:cstheme="minorHAnsi"/>
        </w:rPr>
        <w:t>the reduction of the fuel excise will be less impactful on low income earners</w:t>
      </w:r>
      <w:r w:rsidR="000C7DFC">
        <w:rPr>
          <w:rFonts w:cstheme="minorHAnsi"/>
        </w:rPr>
        <w:t>’ because lower-income households are less likely to own cars.</w:t>
      </w:r>
      <w:r w:rsidR="000C7DFC">
        <w:rPr>
          <w:rStyle w:val="FootnoteReference"/>
          <w:rFonts w:cstheme="minorHAnsi"/>
        </w:rPr>
        <w:footnoteReference w:id="26"/>
      </w:r>
    </w:p>
    <w:p w14:paraId="091DFB0F" w14:textId="7CCBB13B" w:rsidR="007A41D5" w:rsidRDefault="007A41D5" w:rsidP="007A41D5">
      <w:pPr>
        <w:pStyle w:val="Heading4"/>
      </w:pPr>
      <w:r>
        <w:t>Question for Treasury</w:t>
      </w:r>
    </w:p>
    <w:p w14:paraId="2D5B1880" w14:textId="00DD5FE2" w:rsidR="007A41D5" w:rsidRPr="007A41D5" w:rsidRDefault="001373F5" w:rsidP="007A41D5">
      <w:r>
        <w:t xml:space="preserve">Can Treasury confirm whether </w:t>
      </w:r>
      <w:r w:rsidR="007A41D5">
        <w:t xml:space="preserve">the forecasts for inflation published in the 2022–23 Budget include </w:t>
      </w:r>
      <w:r w:rsidR="00291C30">
        <w:t>the temporary reduction</w:t>
      </w:r>
      <w:r w:rsidR="008E1A75">
        <w:t>,</w:t>
      </w:r>
      <w:r w:rsidR="00291C30">
        <w:t xml:space="preserve"> and </w:t>
      </w:r>
      <w:r w:rsidR="008E1A75">
        <w:t>then reversal, in fuel excise</w:t>
      </w:r>
      <w:r w:rsidR="0029792F">
        <w:t xml:space="preserve"> throughout 2022</w:t>
      </w:r>
      <w:r w:rsidR="008E1A75">
        <w:t>?</w:t>
      </w:r>
    </w:p>
    <w:sectPr w:rsidR="007A41D5" w:rsidRPr="007A41D5" w:rsidSect="00177871">
      <w:headerReference w:type="default" r:id="rId11"/>
      <w:footerReference w:type="default" r:id="rId12"/>
      <w:type w:val="continuous"/>
      <w:pgSz w:w="11906" w:h="16838" w:code="9"/>
      <w:pgMar w:top="2807"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E711" w14:textId="77777777" w:rsidR="00074F85" w:rsidRDefault="00074F85" w:rsidP="008E21DE">
      <w:pPr>
        <w:spacing w:before="0" w:after="0"/>
      </w:pPr>
      <w:r>
        <w:separator/>
      </w:r>
    </w:p>
    <w:p w14:paraId="37646E50" w14:textId="77777777" w:rsidR="00074F85" w:rsidRDefault="00074F85"/>
    <w:p w14:paraId="22E8C5B6" w14:textId="77777777" w:rsidR="00074F85" w:rsidRDefault="00074F85"/>
  </w:endnote>
  <w:endnote w:type="continuationSeparator" w:id="0">
    <w:p w14:paraId="26D543BE" w14:textId="77777777" w:rsidR="00074F85" w:rsidRDefault="00074F85" w:rsidP="008E21DE">
      <w:pPr>
        <w:spacing w:before="0" w:after="0"/>
      </w:pPr>
      <w:r>
        <w:continuationSeparator/>
      </w:r>
    </w:p>
    <w:p w14:paraId="5E94A0A5" w14:textId="77777777" w:rsidR="00074F85" w:rsidRDefault="00074F85"/>
    <w:p w14:paraId="06E3C4DE" w14:textId="77777777" w:rsidR="00074F85" w:rsidRDefault="00074F85"/>
  </w:endnote>
  <w:endnote w:type="continuationNotice" w:id="1">
    <w:p w14:paraId="1B45ABFB" w14:textId="77777777" w:rsidR="00074F85" w:rsidRDefault="00074F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Lato">
    <w:altName w:val="Segoe UI"/>
    <w:charset w:val="00"/>
    <w:family w:val="swiss"/>
    <w:pitch w:val="variable"/>
    <w:sig w:usb0="E10002FF" w:usb1="5000ECFF" w:usb2="00000021" w:usb3="00000000" w:csb0="0000019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321795"/>
      <w:docPartObj>
        <w:docPartGallery w:val="Page Numbers (Bottom of Page)"/>
        <w:docPartUnique/>
      </w:docPartObj>
    </w:sdtPr>
    <w:sdtEndPr>
      <w:rPr>
        <w:noProof/>
      </w:rPr>
    </w:sdtEndPr>
    <w:sdtContent>
      <w:p w14:paraId="27D7C31C" w14:textId="74E08DE6" w:rsidR="0099777E" w:rsidRDefault="0099777E" w:rsidP="0099777E">
        <w:pPr>
          <w:pStyle w:val="Footer"/>
        </w:pPr>
        <w:r w:rsidRPr="0099777E">
          <w:fldChar w:fldCharType="begin"/>
        </w:r>
        <w:r w:rsidRPr="0099777E">
          <w:instrText xml:space="preserve"> PAGE   \* MERGEFORMAT </w:instrText>
        </w:r>
        <w:r w:rsidRPr="0099777E">
          <w:fldChar w:fldCharType="separate"/>
        </w:r>
        <w:r w:rsidRPr="0099777E">
          <w:rPr>
            <w:noProof/>
          </w:rPr>
          <w:t>2</w:t>
        </w:r>
        <w:r w:rsidRPr="0099777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AEDD" w14:textId="77777777" w:rsidR="00074F85" w:rsidRDefault="00074F85" w:rsidP="008E21DE">
      <w:pPr>
        <w:spacing w:before="0" w:after="0"/>
      </w:pPr>
      <w:r>
        <w:separator/>
      </w:r>
    </w:p>
  </w:footnote>
  <w:footnote w:type="continuationSeparator" w:id="0">
    <w:p w14:paraId="7D40512B" w14:textId="77777777" w:rsidR="00074F85" w:rsidRDefault="00074F85" w:rsidP="008E21DE">
      <w:pPr>
        <w:spacing w:before="0" w:after="0"/>
      </w:pPr>
      <w:r>
        <w:continuationSeparator/>
      </w:r>
    </w:p>
    <w:p w14:paraId="2776D755" w14:textId="77777777" w:rsidR="00074F85" w:rsidRDefault="00074F85"/>
    <w:p w14:paraId="152FA356" w14:textId="77777777" w:rsidR="00074F85" w:rsidRDefault="00074F85"/>
  </w:footnote>
  <w:footnote w:type="continuationNotice" w:id="1">
    <w:p w14:paraId="29F48356" w14:textId="77777777" w:rsidR="00074F85" w:rsidRDefault="00074F85">
      <w:pPr>
        <w:spacing w:before="0" w:after="0" w:line="240" w:lineRule="auto"/>
      </w:pPr>
    </w:p>
  </w:footnote>
  <w:footnote w:id="2">
    <w:p w14:paraId="047B71B2" w14:textId="2C5A188E" w:rsidR="006A75D3" w:rsidRDefault="006A75D3">
      <w:pPr>
        <w:pStyle w:val="FootnoteText"/>
      </w:pPr>
      <w:r>
        <w:rPr>
          <w:rStyle w:val="FootnoteReference"/>
        </w:rPr>
        <w:footnoteRef/>
      </w:r>
      <w:r>
        <w:t xml:space="preserve"> The LITO </w:t>
      </w:r>
      <w:r w:rsidRPr="006C5C27">
        <w:rPr>
          <w:rFonts w:cs="Calibri"/>
        </w:rPr>
        <w:t xml:space="preserve">applied to incomes of $37 000 or less. </w:t>
      </w:r>
      <w:r w:rsidRPr="001A6DC8">
        <w:rPr>
          <w:rFonts w:cs="Calibri"/>
        </w:rPr>
        <w:t>The maximum LITO was $44</w:t>
      </w:r>
      <w:r w:rsidR="001A6DC8">
        <w:rPr>
          <w:rFonts w:cs="Calibri"/>
        </w:rPr>
        <w:t>5. S</w:t>
      </w:r>
      <w:r w:rsidR="00EC6E01">
        <w:rPr>
          <w:rFonts w:cs="Calibri"/>
        </w:rPr>
        <w:t xml:space="preserve">ee </w:t>
      </w:r>
      <w:r w:rsidR="00EC6E01">
        <w:t>Fair Work Commission (2019)</w:t>
      </w:r>
      <w:r w:rsidR="00EC6E01">
        <w:rPr>
          <w:szCs w:val="18"/>
        </w:rPr>
        <w:t xml:space="preserve">, </w:t>
      </w:r>
      <w:r w:rsidR="00EC6E01">
        <w:rPr>
          <w:i/>
          <w:iCs/>
          <w:szCs w:val="18"/>
        </w:rPr>
        <w:t>Information note—</w:t>
      </w:r>
      <w:r w:rsidR="00EC6E01" w:rsidRPr="001317B2">
        <w:rPr>
          <w:i/>
          <w:iCs/>
          <w:szCs w:val="18"/>
        </w:rPr>
        <w:t>Changes to the tax-transfer system</w:t>
      </w:r>
      <w:r w:rsidR="00EC6E01" w:rsidRPr="001F2BE9">
        <w:rPr>
          <w:szCs w:val="18"/>
        </w:rPr>
        <w:t>,</w:t>
      </w:r>
      <w:r w:rsidR="00EC6E01">
        <w:rPr>
          <w:szCs w:val="18"/>
        </w:rPr>
        <w:t xml:space="preserve"> additional material for the 2018–19 Review, 3 April.</w:t>
      </w:r>
    </w:p>
  </w:footnote>
  <w:footnote w:id="3">
    <w:p w14:paraId="6FD10BA4" w14:textId="77777777" w:rsidR="003F240E" w:rsidRDefault="003F240E" w:rsidP="003F240E">
      <w:pPr>
        <w:pStyle w:val="FootnoteText"/>
      </w:pPr>
      <w:r>
        <w:rPr>
          <w:rStyle w:val="FootnoteReference"/>
        </w:rPr>
        <w:footnoteRef/>
      </w:r>
      <w:r>
        <w:t xml:space="preserve"> [2019] FWCFB 3500 at [354]</w:t>
      </w:r>
    </w:p>
  </w:footnote>
  <w:footnote w:id="4">
    <w:p w14:paraId="061E3D3A" w14:textId="22B113A4" w:rsidR="00BD1E20" w:rsidRDefault="00BD1E20">
      <w:pPr>
        <w:pStyle w:val="FootnoteText"/>
      </w:pPr>
      <w:r>
        <w:rPr>
          <w:rStyle w:val="FootnoteReference"/>
        </w:rPr>
        <w:footnoteRef/>
      </w:r>
      <w:r>
        <w:t xml:space="preserve"> </w:t>
      </w:r>
      <w:r w:rsidRPr="006C5C27">
        <w:rPr>
          <w:rFonts w:cs="Calibri"/>
        </w:rPr>
        <w:t>The maximum LMITO applied to incomes between $48 000 and $90 000.</w:t>
      </w:r>
    </w:p>
  </w:footnote>
  <w:footnote w:id="5">
    <w:p w14:paraId="26E42E2D" w14:textId="5E4B3B93" w:rsidR="00894BD9" w:rsidRDefault="00894BD9">
      <w:pPr>
        <w:pStyle w:val="FootnoteText"/>
      </w:pPr>
      <w:r>
        <w:rPr>
          <w:rStyle w:val="FootnoteReference"/>
        </w:rPr>
        <w:footnoteRef/>
      </w:r>
      <w:r>
        <w:t xml:space="preserve"> [2020] FWCFB 3500 at [355] </w:t>
      </w:r>
    </w:p>
  </w:footnote>
  <w:footnote w:id="6">
    <w:p w14:paraId="328834CB" w14:textId="77777777" w:rsidR="008015B7" w:rsidRPr="00B1517A" w:rsidRDefault="008015B7" w:rsidP="008015B7">
      <w:pPr>
        <w:pStyle w:val="FootnoteText"/>
      </w:pPr>
      <w:r>
        <w:rPr>
          <w:rStyle w:val="FootnoteReference"/>
        </w:rPr>
        <w:footnoteRef/>
      </w:r>
      <w:r>
        <w:t xml:space="preserve"> [2020] FWCFB 3500 at [357]</w:t>
      </w:r>
    </w:p>
  </w:footnote>
  <w:footnote w:id="7">
    <w:p w14:paraId="2EB1AC57" w14:textId="1D85AEDA" w:rsidR="00390BAE" w:rsidRDefault="00390BAE">
      <w:pPr>
        <w:pStyle w:val="FootnoteText"/>
      </w:pPr>
      <w:r>
        <w:rPr>
          <w:rStyle w:val="FootnoteReference"/>
        </w:rPr>
        <w:footnoteRef/>
      </w:r>
      <w:r>
        <w:t xml:space="preserve"> [2021] FWCFB 3500 at [69]</w:t>
      </w:r>
    </w:p>
  </w:footnote>
  <w:footnote w:id="8">
    <w:p w14:paraId="2143918B" w14:textId="77777777" w:rsidR="005E3C69" w:rsidRDefault="005E3C69" w:rsidP="005E3C69">
      <w:pPr>
        <w:pStyle w:val="FootnoteText"/>
      </w:pPr>
      <w:r>
        <w:rPr>
          <w:rStyle w:val="FootnoteReference"/>
        </w:rPr>
        <w:footnoteRef/>
      </w:r>
      <w:r>
        <w:t xml:space="preserve"> Australian Government (2022), </w:t>
      </w:r>
      <w:r w:rsidRPr="00D916E1">
        <w:rPr>
          <w:i/>
          <w:iCs/>
        </w:rPr>
        <w:t xml:space="preserve">Budget </w:t>
      </w:r>
      <w:r>
        <w:rPr>
          <w:i/>
          <w:iCs/>
        </w:rPr>
        <w:t>2022–23</w:t>
      </w:r>
      <w:r w:rsidRPr="00D916E1">
        <w:rPr>
          <w:i/>
          <w:iCs/>
        </w:rPr>
        <w:t>, Budget Paper No. 1</w:t>
      </w:r>
      <w:r>
        <w:t>, 29 March, p. 15.</w:t>
      </w:r>
    </w:p>
  </w:footnote>
  <w:footnote w:id="9">
    <w:p w14:paraId="38334C46" w14:textId="77777777" w:rsidR="005E3C69" w:rsidRDefault="005E3C69" w:rsidP="005E3C69">
      <w:pPr>
        <w:pStyle w:val="FootnoteText"/>
      </w:pPr>
      <w:r>
        <w:rPr>
          <w:rStyle w:val="FootnoteReference"/>
        </w:rPr>
        <w:footnoteRef/>
      </w:r>
      <w:r>
        <w:t xml:space="preserve"> Australian Government (2022), </w:t>
      </w:r>
      <w:r w:rsidRPr="00BF55E5">
        <w:rPr>
          <w:i/>
          <w:iCs/>
        </w:rPr>
        <w:t xml:space="preserve">Budget </w:t>
      </w:r>
      <w:r>
        <w:rPr>
          <w:i/>
          <w:iCs/>
        </w:rPr>
        <w:t>2022–23</w:t>
      </w:r>
      <w:r w:rsidRPr="00BF55E5">
        <w:rPr>
          <w:i/>
          <w:iCs/>
        </w:rPr>
        <w:t xml:space="preserve">, Budget Paper No. </w:t>
      </w:r>
      <w:r>
        <w:rPr>
          <w:i/>
          <w:iCs/>
        </w:rPr>
        <w:t>2</w:t>
      </w:r>
      <w:r>
        <w:t>, 29 March, p. 16;</w:t>
      </w:r>
      <w:r w:rsidRPr="005E64FA">
        <w:t xml:space="preserve"> </w:t>
      </w:r>
      <w:hyperlink r:id="rId1" w:history="1">
        <w:r w:rsidRPr="00EC5703">
          <w:rPr>
            <w:rStyle w:val="Hyperlink"/>
            <w:rFonts w:ascii="Calibri" w:hAnsi="Calibri"/>
            <w:i/>
            <w:iCs/>
          </w:rPr>
          <w:t>Treasury Laws Amendment (Cost of Living Support and Other Measures) Act 2022</w:t>
        </w:r>
      </w:hyperlink>
      <w:r>
        <w:t>.</w:t>
      </w:r>
    </w:p>
  </w:footnote>
  <w:footnote w:id="10">
    <w:p w14:paraId="7EAEE03B" w14:textId="79ED26B1" w:rsidR="00534CCA" w:rsidRDefault="00534CCA">
      <w:pPr>
        <w:pStyle w:val="FootnoteText"/>
      </w:pPr>
      <w:r>
        <w:rPr>
          <w:rStyle w:val="FootnoteReference"/>
        </w:rPr>
        <w:footnoteRef/>
      </w:r>
      <w:r>
        <w:t xml:space="preserve"> </w:t>
      </w:r>
      <w:r w:rsidR="00C5273A">
        <w:t>ACCI submission, 1 April 2022</w:t>
      </w:r>
      <w:r w:rsidR="00D51C56">
        <w:t>, at paras 245–246.</w:t>
      </w:r>
    </w:p>
  </w:footnote>
  <w:footnote w:id="11">
    <w:p w14:paraId="10A2FF5F" w14:textId="207DA6BB" w:rsidR="00D97C16" w:rsidRDefault="00D97C16">
      <w:pPr>
        <w:pStyle w:val="FootnoteText"/>
      </w:pPr>
      <w:r>
        <w:rPr>
          <w:rStyle w:val="FootnoteReference"/>
        </w:rPr>
        <w:footnoteRef/>
      </w:r>
      <w:r>
        <w:t xml:space="preserve"> ACCI submission in reply, 10 May 2022, at para. 65.</w:t>
      </w:r>
    </w:p>
  </w:footnote>
  <w:footnote w:id="12">
    <w:p w14:paraId="522AC485" w14:textId="51F863BC" w:rsidR="00D00184" w:rsidRDefault="00D00184">
      <w:pPr>
        <w:pStyle w:val="FootnoteText"/>
      </w:pPr>
      <w:r>
        <w:rPr>
          <w:rStyle w:val="FootnoteReference"/>
        </w:rPr>
        <w:footnoteRef/>
      </w:r>
      <w:r>
        <w:t xml:space="preserve"> Ai Group submission, 1 April 2022, at p. 43.</w:t>
      </w:r>
    </w:p>
  </w:footnote>
  <w:footnote w:id="13">
    <w:p w14:paraId="1D42A961" w14:textId="77777777" w:rsidR="00A44D42" w:rsidRDefault="00A44D42" w:rsidP="00A44D42">
      <w:pPr>
        <w:pStyle w:val="FootnoteText"/>
      </w:pPr>
      <w:r>
        <w:rPr>
          <w:rStyle w:val="FootnoteReference"/>
        </w:rPr>
        <w:footnoteRef/>
      </w:r>
      <w:r>
        <w:t xml:space="preserve"> NRA submission in reply, 6 May 2022, at para. 1.2.</w:t>
      </w:r>
    </w:p>
  </w:footnote>
  <w:footnote w:id="14">
    <w:p w14:paraId="00A0435C" w14:textId="4C07C30E" w:rsidR="00FD1BD6" w:rsidRDefault="00FD1BD6">
      <w:pPr>
        <w:pStyle w:val="FootnoteText"/>
      </w:pPr>
      <w:r>
        <w:rPr>
          <w:rStyle w:val="FootnoteReference"/>
        </w:rPr>
        <w:footnoteRef/>
      </w:r>
      <w:r>
        <w:t xml:space="preserve"> ACTU submission in reply, </w:t>
      </w:r>
      <w:r w:rsidR="00B90623">
        <w:t>8 May 2022, at para. 122.</w:t>
      </w:r>
    </w:p>
  </w:footnote>
  <w:footnote w:id="15">
    <w:p w14:paraId="493EA6BA" w14:textId="55F2F4ED" w:rsidR="00AD5213" w:rsidRDefault="00AD5213">
      <w:pPr>
        <w:pStyle w:val="FootnoteText"/>
      </w:pPr>
      <w:r>
        <w:rPr>
          <w:rStyle w:val="FootnoteReference"/>
        </w:rPr>
        <w:footnoteRef/>
      </w:r>
      <w:r>
        <w:t xml:space="preserve"> ACTU submission, 1 April 2022, at para. 166(b).</w:t>
      </w:r>
    </w:p>
  </w:footnote>
  <w:footnote w:id="16">
    <w:p w14:paraId="568FA116" w14:textId="77777777" w:rsidR="00B22BCC" w:rsidRDefault="00B22BCC" w:rsidP="00B22BCC">
      <w:pPr>
        <w:pStyle w:val="FootnoteText"/>
      </w:pPr>
      <w:r>
        <w:rPr>
          <w:rStyle w:val="FootnoteReference"/>
        </w:rPr>
        <w:footnoteRef/>
      </w:r>
      <w:r>
        <w:t xml:space="preserve"> ACCER submission in reply, 6 May 2022, at para. 8.</w:t>
      </w:r>
    </w:p>
  </w:footnote>
  <w:footnote w:id="17">
    <w:p w14:paraId="492564E7" w14:textId="411DD60B" w:rsidR="004320BD" w:rsidRDefault="004320BD">
      <w:pPr>
        <w:pStyle w:val="FootnoteText"/>
      </w:pPr>
      <w:r>
        <w:rPr>
          <w:rStyle w:val="FootnoteReference"/>
        </w:rPr>
        <w:footnoteRef/>
      </w:r>
      <w:r>
        <w:t xml:space="preserve"> </w:t>
      </w:r>
      <w:r w:rsidR="001B1B21">
        <w:t>ACCER submission in reply, 6 May 2022, at para. 10.</w:t>
      </w:r>
    </w:p>
  </w:footnote>
  <w:footnote w:id="18">
    <w:p w14:paraId="301680C3" w14:textId="28F097CD" w:rsidR="001C5EDD" w:rsidRDefault="001C5EDD">
      <w:pPr>
        <w:pStyle w:val="FootnoteText"/>
      </w:pPr>
      <w:r>
        <w:rPr>
          <w:rStyle w:val="FootnoteReference"/>
        </w:rPr>
        <w:footnoteRef/>
      </w:r>
      <w:r>
        <w:t xml:space="preserve"> ACCER submission in reply, 6 May 2022, at para. 9; </w:t>
      </w:r>
      <w:r w:rsidR="00A16B01">
        <w:t xml:space="preserve">[2018] FWCFB 3500 at [292].  </w:t>
      </w:r>
    </w:p>
  </w:footnote>
  <w:footnote w:id="19">
    <w:p w14:paraId="7E87BD67" w14:textId="3427F394" w:rsidR="008674AC" w:rsidRDefault="008674AC">
      <w:pPr>
        <w:pStyle w:val="FootnoteText"/>
      </w:pPr>
      <w:r>
        <w:rPr>
          <w:rStyle w:val="FootnoteReference"/>
        </w:rPr>
        <w:footnoteRef/>
      </w:r>
      <w:r>
        <w:t xml:space="preserve"> Fair Work Commission (2022), </w:t>
      </w:r>
      <w:hyperlink r:id="rId2" w:history="1">
        <w:r w:rsidRPr="00412ACF">
          <w:rPr>
            <w:rStyle w:val="Hyperlink"/>
            <w:rFonts w:ascii="Calibri" w:hAnsi="Calibri"/>
            <w:i/>
            <w:iCs/>
          </w:rPr>
          <w:t>Information note—Summary of measures from the 2022–23 Budget</w:t>
        </w:r>
      </w:hyperlink>
      <w:r>
        <w:t>, additional material, 14 April.</w:t>
      </w:r>
    </w:p>
  </w:footnote>
  <w:footnote w:id="20">
    <w:p w14:paraId="08A63482" w14:textId="77777777" w:rsidR="002C6768" w:rsidRDefault="002C6768" w:rsidP="002C6768">
      <w:pPr>
        <w:pStyle w:val="FootnoteText"/>
      </w:pPr>
      <w:r>
        <w:rPr>
          <w:rStyle w:val="FootnoteReference"/>
        </w:rPr>
        <w:footnoteRef/>
      </w:r>
      <w:r>
        <w:t xml:space="preserve"> ACTU submission, 1 April 2022, at para. 166(a).</w:t>
      </w:r>
    </w:p>
  </w:footnote>
  <w:footnote w:id="21">
    <w:p w14:paraId="41795371" w14:textId="6ADBBA0B" w:rsidR="008200DC" w:rsidRDefault="008200DC" w:rsidP="008200DC">
      <w:pPr>
        <w:pStyle w:val="FootnoteText"/>
      </w:pPr>
      <w:r>
        <w:rPr>
          <w:rStyle w:val="FootnoteReference"/>
        </w:rPr>
        <w:footnoteRef/>
      </w:r>
      <w:r>
        <w:t xml:space="preserve"> ACCI submission, 1</w:t>
      </w:r>
      <w:r w:rsidR="00A176AC">
        <w:t xml:space="preserve"> April</w:t>
      </w:r>
      <w:r>
        <w:t xml:space="preserve"> 2022, at para. </w:t>
      </w:r>
      <w:r w:rsidR="00F2214D">
        <w:t>246</w:t>
      </w:r>
      <w:r>
        <w:t>.</w:t>
      </w:r>
    </w:p>
  </w:footnote>
  <w:footnote w:id="22">
    <w:p w14:paraId="21759469" w14:textId="6BCDA60A" w:rsidR="0038476B" w:rsidRDefault="0038476B">
      <w:pPr>
        <w:pStyle w:val="FootnoteText"/>
      </w:pPr>
      <w:r>
        <w:rPr>
          <w:rStyle w:val="FootnoteReference"/>
        </w:rPr>
        <w:footnoteRef/>
      </w:r>
      <w:r>
        <w:t xml:space="preserve"> ARA submission, 1 April 2022, at p. </w:t>
      </w:r>
      <w:r w:rsidR="001A299F">
        <w:t>4.</w:t>
      </w:r>
    </w:p>
  </w:footnote>
  <w:footnote w:id="23">
    <w:p w14:paraId="66B0F10A" w14:textId="6AB9D0CE" w:rsidR="007B5DD1" w:rsidRDefault="007B5DD1">
      <w:pPr>
        <w:pStyle w:val="FootnoteText"/>
      </w:pPr>
      <w:r>
        <w:rPr>
          <w:rStyle w:val="FootnoteReference"/>
        </w:rPr>
        <w:footnoteRef/>
      </w:r>
      <w:r>
        <w:t xml:space="preserve"> Ai Group submission in reply, 10 May 2022</w:t>
      </w:r>
      <w:r w:rsidR="00EE1AA6">
        <w:t>,</w:t>
      </w:r>
      <w:r>
        <w:t xml:space="preserve"> at </w:t>
      </w:r>
      <w:r w:rsidR="00EE1AA6">
        <w:t>p. 22.</w:t>
      </w:r>
    </w:p>
  </w:footnote>
  <w:footnote w:id="24">
    <w:p w14:paraId="17510FDD" w14:textId="6B7CE724" w:rsidR="002B5199" w:rsidRDefault="002B5199">
      <w:pPr>
        <w:pStyle w:val="FootnoteText"/>
      </w:pPr>
      <w:r>
        <w:rPr>
          <w:rStyle w:val="FootnoteReference"/>
        </w:rPr>
        <w:footnoteRef/>
      </w:r>
      <w:r>
        <w:t xml:space="preserve"> NRA submission in reply, </w:t>
      </w:r>
      <w:r w:rsidR="00282D4E">
        <w:t>6</w:t>
      </w:r>
      <w:r>
        <w:t xml:space="preserve"> May 2022, at para. 1.3.</w:t>
      </w:r>
    </w:p>
  </w:footnote>
  <w:footnote w:id="25">
    <w:p w14:paraId="20B6E27A" w14:textId="680EC396" w:rsidR="00E54141" w:rsidRDefault="00E54141">
      <w:pPr>
        <w:pStyle w:val="FootnoteText"/>
      </w:pPr>
      <w:r>
        <w:rPr>
          <w:rStyle w:val="FootnoteReference"/>
        </w:rPr>
        <w:footnoteRef/>
      </w:r>
      <w:r>
        <w:t xml:space="preserve"> ACCER submission in reply, </w:t>
      </w:r>
      <w:r w:rsidR="00282D4E">
        <w:t>10</w:t>
      </w:r>
      <w:r>
        <w:t xml:space="preserve"> May 2022, at paras 19–20.</w:t>
      </w:r>
    </w:p>
  </w:footnote>
  <w:footnote w:id="26">
    <w:p w14:paraId="6DD13F6C" w14:textId="75F7B422" w:rsidR="000C7DFC" w:rsidRDefault="000C7DFC">
      <w:pPr>
        <w:pStyle w:val="FootnoteText"/>
      </w:pPr>
      <w:r>
        <w:rPr>
          <w:rStyle w:val="FootnoteReference"/>
        </w:rPr>
        <w:footnoteRef/>
      </w:r>
      <w:r>
        <w:t xml:space="preserve"> ACCER submission in reply, </w:t>
      </w:r>
      <w:r w:rsidR="00282D4E">
        <w:t>10</w:t>
      </w:r>
      <w:r>
        <w:t xml:space="preserve"> May 2022, at para.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07B7D857" w:rsidR="00381CE5" w:rsidRPr="00BA7506" w:rsidRDefault="00381CE5" w:rsidP="00771B1B">
    <w:pPr>
      <w:pStyle w:val="Header"/>
      <w:jc w:val="left"/>
      <w:rPr>
        <w:color w:val="002A4C" w:themeColor="accent2"/>
      </w:rPr>
    </w:pPr>
    <w:r>
      <w:rPr>
        <w:caps/>
        <w:noProof/>
        <w:color w:val="FFFFFF" w:themeColor="background1"/>
        <w:sz w:val="25"/>
      </w:rPr>
      <w:drawing>
        <wp:anchor distT="0" distB="0" distL="114300" distR="114300" simplePos="0" relativeHeight="251658241" behindDoc="1" locked="0" layoutInCell="1" allowOverlap="1" wp14:anchorId="7E87765F" wp14:editId="2AE69AC2">
          <wp:simplePos x="0" y="0"/>
          <wp:positionH relativeFrom="column">
            <wp:posOffset>0</wp:posOffset>
          </wp:positionH>
          <wp:positionV relativeFrom="paragraph">
            <wp:posOffset>413191</wp:posOffset>
          </wp:positionV>
          <wp:extent cx="812800" cy="800100"/>
          <wp:effectExtent l="0" t="0" r="0" b="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Pr>
        <w:noProof/>
        <w:color w:val="002A4C" w:themeColor="accent2"/>
      </w:rPr>
      <w:drawing>
        <wp:anchor distT="0" distB="0" distL="114300" distR="114300" simplePos="0" relativeHeight="251658240" behindDoc="1" locked="0" layoutInCell="1" allowOverlap="1" wp14:anchorId="64910317" wp14:editId="28165055">
          <wp:simplePos x="0" y="0"/>
          <wp:positionH relativeFrom="column">
            <wp:posOffset>539588</wp:posOffset>
          </wp:positionH>
          <wp:positionV relativeFrom="paragraph">
            <wp:posOffset>-6350</wp:posOffset>
          </wp:positionV>
          <wp:extent cx="6300470" cy="1890395"/>
          <wp:effectExtent l="0" t="0" r="0" b="1905"/>
          <wp:wrapNone/>
          <wp:docPr id="43" name="Picture 4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background patter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FCF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F6CE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CE6C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2AF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4667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F822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70D7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84D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861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0B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C5F3F2E"/>
    <w:multiLevelType w:val="multilevel"/>
    <w:tmpl w:val="346A3008"/>
    <w:numStyleLink w:val="DefaultBullets"/>
  </w:abstractNum>
  <w:abstractNum w:abstractNumId="1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4BA6826"/>
    <w:multiLevelType w:val="multilevel"/>
    <w:tmpl w:val="1610CD90"/>
    <w:numStyleLink w:val="List1Numbered"/>
  </w:abstractNum>
  <w:abstractNum w:abstractNumId="14"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A632A9"/>
    <w:multiLevelType w:val="multilevel"/>
    <w:tmpl w:val="A41689A2"/>
    <w:numStyleLink w:val="AppendixNumbers"/>
  </w:abstractNum>
  <w:abstractNum w:abstractNumId="1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2" w15:restartNumberingAfterBreak="0">
    <w:nsid w:val="50517343"/>
    <w:multiLevelType w:val="multilevel"/>
    <w:tmpl w:val="131EEC6C"/>
    <w:numStyleLink w:val="TableNumbers"/>
  </w:abstractNum>
  <w:abstractNum w:abstractNumId="23"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63048B"/>
    <w:multiLevelType w:val="multilevel"/>
    <w:tmpl w:val="C284D0B0"/>
    <w:numStyleLink w:val="FigureNumbers"/>
  </w:abstractNum>
  <w:abstractNum w:abstractNumId="2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BF51665"/>
    <w:multiLevelType w:val="multilevel"/>
    <w:tmpl w:val="4E929216"/>
    <w:numStyleLink w:val="NumberedHeadings"/>
  </w:abstractNum>
  <w:abstractNum w:abstractNumId="27"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29" w15:restartNumberingAfterBreak="0">
    <w:nsid w:val="7EE44065"/>
    <w:multiLevelType w:val="multilevel"/>
    <w:tmpl w:val="A41689A2"/>
    <w:numStyleLink w:val="AppendixNumbers"/>
  </w:abstractNum>
  <w:num w:numId="1" w16cid:durableId="316226877">
    <w:abstractNumId w:val="12"/>
  </w:num>
  <w:num w:numId="2" w16cid:durableId="513155408">
    <w:abstractNumId w:val="29"/>
    <w:lvlOverride w:ilvl="0">
      <w:lvl w:ilvl="0">
        <w:start w:val="1"/>
        <w:numFmt w:val="upperLetter"/>
        <w:suff w:val="space"/>
        <w:lvlText w:val="Appendix %1 –"/>
        <w:lvlJc w:val="left"/>
        <w:pPr>
          <w:ind w:left="2126" w:hanging="2126"/>
        </w:pPr>
        <w:rPr>
          <w:rFonts w:hint="default"/>
          <w:b/>
        </w:rPr>
      </w:lvl>
    </w:lvlOverride>
  </w:num>
  <w:num w:numId="3" w16cid:durableId="552959436">
    <w:abstractNumId w:val="23"/>
  </w:num>
  <w:num w:numId="4" w16cid:durableId="1573009091">
    <w:abstractNumId w:val="21"/>
  </w:num>
  <w:num w:numId="5" w16cid:durableId="217011819">
    <w:abstractNumId w:val="15"/>
  </w:num>
  <w:num w:numId="6" w16cid:durableId="2137020134">
    <w:abstractNumId w:val="24"/>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1870289094">
    <w:abstractNumId w:val="26"/>
  </w:num>
  <w:num w:numId="8" w16cid:durableId="1554733433">
    <w:abstractNumId w:val="14"/>
  </w:num>
  <w:num w:numId="9" w16cid:durableId="807480483">
    <w:abstractNumId w:val="25"/>
  </w:num>
  <w:num w:numId="10" w16cid:durableId="761071057">
    <w:abstractNumId w:val="19"/>
  </w:num>
  <w:num w:numId="11" w16cid:durableId="1289042645">
    <w:abstractNumId w:val="16"/>
  </w:num>
  <w:num w:numId="12" w16cid:durableId="927733911">
    <w:abstractNumId w:val="22"/>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58595297">
    <w:abstractNumId w:val="28"/>
  </w:num>
  <w:num w:numId="14" w16cid:durableId="1063673496">
    <w:abstractNumId w:val="18"/>
  </w:num>
  <w:num w:numId="15" w16cid:durableId="955451641">
    <w:abstractNumId w:val="17"/>
  </w:num>
  <w:num w:numId="16" w16cid:durableId="1752116162">
    <w:abstractNumId w:val="17"/>
  </w:num>
  <w:num w:numId="17" w16cid:durableId="1753043516">
    <w:abstractNumId w:val="11"/>
  </w:num>
  <w:num w:numId="18" w16cid:durableId="385489766">
    <w:abstractNumId w:val="13"/>
  </w:num>
  <w:num w:numId="19" w16cid:durableId="1621065683">
    <w:abstractNumId w:val="27"/>
  </w:num>
  <w:num w:numId="20" w16cid:durableId="283200539">
    <w:abstractNumId w:val="20"/>
  </w:num>
  <w:num w:numId="21" w16cid:durableId="1530218493">
    <w:abstractNumId w:val="0"/>
  </w:num>
  <w:num w:numId="22" w16cid:durableId="1726755747">
    <w:abstractNumId w:val="1"/>
  </w:num>
  <w:num w:numId="23" w16cid:durableId="944309676">
    <w:abstractNumId w:val="2"/>
  </w:num>
  <w:num w:numId="24" w16cid:durableId="1508524140">
    <w:abstractNumId w:val="3"/>
  </w:num>
  <w:num w:numId="25" w16cid:durableId="1059480624">
    <w:abstractNumId w:val="8"/>
  </w:num>
  <w:num w:numId="26" w16cid:durableId="1503083628">
    <w:abstractNumId w:val="4"/>
  </w:num>
  <w:num w:numId="27" w16cid:durableId="972642035">
    <w:abstractNumId w:val="5"/>
  </w:num>
  <w:num w:numId="28" w16cid:durableId="1834371133">
    <w:abstractNumId w:val="6"/>
  </w:num>
  <w:num w:numId="29" w16cid:durableId="505678192">
    <w:abstractNumId w:val="7"/>
  </w:num>
  <w:num w:numId="30" w16cid:durableId="733742653">
    <w:abstractNumId w:val="9"/>
  </w:num>
  <w:num w:numId="31" w16cid:durableId="188988065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13B2F"/>
    <w:rsid w:val="000256CC"/>
    <w:rsid w:val="00032F7C"/>
    <w:rsid w:val="00054A6F"/>
    <w:rsid w:val="00057E99"/>
    <w:rsid w:val="0006125F"/>
    <w:rsid w:val="00061C34"/>
    <w:rsid w:val="00063091"/>
    <w:rsid w:val="00067184"/>
    <w:rsid w:val="00070E0C"/>
    <w:rsid w:val="00072E9A"/>
    <w:rsid w:val="00074F85"/>
    <w:rsid w:val="00077449"/>
    <w:rsid w:val="00080615"/>
    <w:rsid w:val="00081A22"/>
    <w:rsid w:val="00081DFA"/>
    <w:rsid w:val="00084532"/>
    <w:rsid w:val="000864CC"/>
    <w:rsid w:val="000900A4"/>
    <w:rsid w:val="00096993"/>
    <w:rsid w:val="000A3B94"/>
    <w:rsid w:val="000A5F11"/>
    <w:rsid w:val="000B27A6"/>
    <w:rsid w:val="000B4785"/>
    <w:rsid w:val="000C252F"/>
    <w:rsid w:val="000C6F28"/>
    <w:rsid w:val="000C7DFC"/>
    <w:rsid w:val="000D080E"/>
    <w:rsid w:val="000D6566"/>
    <w:rsid w:val="000E184A"/>
    <w:rsid w:val="000F08A2"/>
    <w:rsid w:val="000F1192"/>
    <w:rsid w:val="000F244A"/>
    <w:rsid w:val="000F49F8"/>
    <w:rsid w:val="001003DD"/>
    <w:rsid w:val="00102D30"/>
    <w:rsid w:val="00103E07"/>
    <w:rsid w:val="0010620F"/>
    <w:rsid w:val="001062E8"/>
    <w:rsid w:val="00111DB3"/>
    <w:rsid w:val="00115E1F"/>
    <w:rsid w:val="00116996"/>
    <w:rsid w:val="001209BB"/>
    <w:rsid w:val="00122BD0"/>
    <w:rsid w:val="001242E5"/>
    <w:rsid w:val="00132F27"/>
    <w:rsid w:val="001373F5"/>
    <w:rsid w:val="00141453"/>
    <w:rsid w:val="00145495"/>
    <w:rsid w:val="00145928"/>
    <w:rsid w:val="001500B0"/>
    <w:rsid w:val="0015019C"/>
    <w:rsid w:val="001512E2"/>
    <w:rsid w:val="00151D06"/>
    <w:rsid w:val="001546B2"/>
    <w:rsid w:val="001613C3"/>
    <w:rsid w:val="001614E8"/>
    <w:rsid w:val="00161B7E"/>
    <w:rsid w:val="0016440B"/>
    <w:rsid w:val="00165F77"/>
    <w:rsid w:val="001678FB"/>
    <w:rsid w:val="00177871"/>
    <w:rsid w:val="00190C51"/>
    <w:rsid w:val="001947F5"/>
    <w:rsid w:val="001A10CD"/>
    <w:rsid w:val="001A299F"/>
    <w:rsid w:val="001A6DC8"/>
    <w:rsid w:val="001B1B21"/>
    <w:rsid w:val="001C4087"/>
    <w:rsid w:val="001C5EDD"/>
    <w:rsid w:val="001D1C98"/>
    <w:rsid w:val="001F4629"/>
    <w:rsid w:val="002047E5"/>
    <w:rsid w:val="002070F2"/>
    <w:rsid w:val="00211760"/>
    <w:rsid w:val="00212E76"/>
    <w:rsid w:val="00213AC3"/>
    <w:rsid w:val="00224065"/>
    <w:rsid w:val="0022720A"/>
    <w:rsid w:val="00230970"/>
    <w:rsid w:val="00234C94"/>
    <w:rsid w:val="00236133"/>
    <w:rsid w:val="002400E7"/>
    <w:rsid w:val="00242468"/>
    <w:rsid w:val="00245FB7"/>
    <w:rsid w:val="00254E14"/>
    <w:rsid w:val="00264BAD"/>
    <w:rsid w:val="00264D11"/>
    <w:rsid w:val="002664F1"/>
    <w:rsid w:val="00270DE6"/>
    <w:rsid w:val="00275320"/>
    <w:rsid w:val="00277FC4"/>
    <w:rsid w:val="002804D3"/>
    <w:rsid w:val="0028223E"/>
    <w:rsid w:val="0028225C"/>
    <w:rsid w:val="00282D4E"/>
    <w:rsid w:val="002857A6"/>
    <w:rsid w:val="00290FB4"/>
    <w:rsid w:val="00291C30"/>
    <w:rsid w:val="00295C7B"/>
    <w:rsid w:val="0029792F"/>
    <w:rsid w:val="002A0235"/>
    <w:rsid w:val="002A06B8"/>
    <w:rsid w:val="002A3257"/>
    <w:rsid w:val="002A5FC8"/>
    <w:rsid w:val="002B5199"/>
    <w:rsid w:val="002B6340"/>
    <w:rsid w:val="002B6DAE"/>
    <w:rsid w:val="002C19AC"/>
    <w:rsid w:val="002C6768"/>
    <w:rsid w:val="002D3CB6"/>
    <w:rsid w:val="002D469A"/>
    <w:rsid w:val="002D6EAA"/>
    <w:rsid w:val="002E2069"/>
    <w:rsid w:val="002F455A"/>
    <w:rsid w:val="002F4D22"/>
    <w:rsid w:val="002F570E"/>
    <w:rsid w:val="002F6C59"/>
    <w:rsid w:val="003033CC"/>
    <w:rsid w:val="00305773"/>
    <w:rsid w:val="003063E4"/>
    <w:rsid w:val="00307DA4"/>
    <w:rsid w:val="00320EAE"/>
    <w:rsid w:val="003278BE"/>
    <w:rsid w:val="003334EC"/>
    <w:rsid w:val="0033646B"/>
    <w:rsid w:val="00337DB9"/>
    <w:rsid w:val="003449A0"/>
    <w:rsid w:val="003454F7"/>
    <w:rsid w:val="00356D05"/>
    <w:rsid w:val="00360E29"/>
    <w:rsid w:val="00371EED"/>
    <w:rsid w:val="00372397"/>
    <w:rsid w:val="0037289E"/>
    <w:rsid w:val="00374FE1"/>
    <w:rsid w:val="0038101C"/>
    <w:rsid w:val="00381CE5"/>
    <w:rsid w:val="0038224C"/>
    <w:rsid w:val="0038476B"/>
    <w:rsid w:val="00390BAE"/>
    <w:rsid w:val="003922A0"/>
    <w:rsid w:val="00393599"/>
    <w:rsid w:val="003A04E1"/>
    <w:rsid w:val="003A453B"/>
    <w:rsid w:val="003B01FC"/>
    <w:rsid w:val="003B428C"/>
    <w:rsid w:val="003B6659"/>
    <w:rsid w:val="003C6BD3"/>
    <w:rsid w:val="003E1D0D"/>
    <w:rsid w:val="003E6297"/>
    <w:rsid w:val="003F240E"/>
    <w:rsid w:val="003F3082"/>
    <w:rsid w:val="003F5F98"/>
    <w:rsid w:val="003F6570"/>
    <w:rsid w:val="00401459"/>
    <w:rsid w:val="004038C2"/>
    <w:rsid w:val="0041201F"/>
    <w:rsid w:val="00412ACF"/>
    <w:rsid w:val="004154E2"/>
    <w:rsid w:val="0041586D"/>
    <w:rsid w:val="004167A3"/>
    <w:rsid w:val="004238A8"/>
    <w:rsid w:val="00427619"/>
    <w:rsid w:val="004312FD"/>
    <w:rsid w:val="004320BD"/>
    <w:rsid w:val="00436D9C"/>
    <w:rsid w:val="00455879"/>
    <w:rsid w:val="004642D0"/>
    <w:rsid w:val="004669FE"/>
    <w:rsid w:val="0046719D"/>
    <w:rsid w:val="0047297A"/>
    <w:rsid w:val="00480D95"/>
    <w:rsid w:val="00482CD1"/>
    <w:rsid w:val="004872E4"/>
    <w:rsid w:val="004935B1"/>
    <w:rsid w:val="00493E86"/>
    <w:rsid w:val="00495AB5"/>
    <w:rsid w:val="004A5188"/>
    <w:rsid w:val="004A591C"/>
    <w:rsid w:val="004A5EE0"/>
    <w:rsid w:val="004B1AD0"/>
    <w:rsid w:val="004B32C6"/>
    <w:rsid w:val="004C092C"/>
    <w:rsid w:val="004C0D8A"/>
    <w:rsid w:val="004C13D4"/>
    <w:rsid w:val="004C23C0"/>
    <w:rsid w:val="004C6EAD"/>
    <w:rsid w:val="004E0EE4"/>
    <w:rsid w:val="004E4DA9"/>
    <w:rsid w:val="004E69E8"/>
    <w:rsid w:val="004F373E"/>
    <w:rsid w:val="005004D7"/>
    <w:rsid w:val="005026C2"/>
    <w:rsid w:val="005123BA"/>
    <w:rsid w:val="00513145"/>
    <w:rsid w:val="00520878"/>
    <w:rsid w:val="00523461"/>
    <w:rsid w:val="00526195"/>
    <w:rsid w:val="00534CCA"/>
    <w:rsid w:val="00534D53"/>
    <w:rsid w:val="005401BB"/>
    <w:rsid w:val="00547D68"/>
    <w:rsid w:val="0055175C"/>
    <w:rsid w:val="0056754B"/>
    <w:rsid w:val="00573349"/>
    <w:rsid w:val="0057343D"/>
    <w:rsid w:val="00574F03"/>
    <w:rsid w:val="00575906"/>
    <w:rsid w:val="00591C23"/>
    <w:rsid w:val="00593567"/>
    <w:rsid w:val="00593CFA"/>
    <w:rsid w:val="005944F7"/>
    <w:rsid w:val="00596EDB"/>
    <w:rsid w:val="005A368C"/>
    <w:rsid w:val="005B331B"/>
    <w:rsid w:val="005B3706"/>
    <w:rsid w:val="005C4878"/>
    <w:rsid w:val="005C4EEC"/>
    <w:rsid w:val="005D03C4"/>
    <w:rsid w:val="005D136D"/>
    <w:rsid w:val="005E3C69"/>
    <w:rsid w:val="005E7CCA"/>
    <w:rsid w:val="005F174A"/>
    <w:rsid w:val="005F7FD4"/>
    <w:rsid w:val="0060052E"/>
    <w:rsid w:val="00604B2A"/>
    <w:rsid w:val="006051F5"/>
    <w:rsid w:val="00611655"/>
    <w:rsid w:val="00613B94"/>
    <w:rsid w:val="00616C6F"/>
    <w:rsid w:val="00621696"/>
    <w:rsid w:val="0062284E"/>
    <w:rsid w:val="00623E4C"/>
    <w:rsid w:val="0062445A"/>
    <w:rsid w:val="00632393"/>
    <w:rsid w:val="00632EF9"/>
    <w:rsid w:val="00642FF7"/>
    <w:rsid w:val="006452D4"/>
    <w:rsid w:val="00655973"/>
    <w:rsid w:val="00673278"/>
    <w:rsid w:val="0067639E"/>
    <w:rsid w:val="00676632"/>
    <w:rsid w:val="00680F04"/>
    <w:rsid w:val="006820FD"/>
    <w:rsid w:val="00682AA4"/>
    <w:rsid w:val="006865E8"/>
    <w:rsid w:val="006870DC"/>
    <w:rsid w:val="00695104"/>
    <w:rsid w:val="006A45C3"/>
    <w:rsid w:val="006A75D3"/>
    <w:rsid w:val="006A779C"/>
    <w:rsid w:val="006A7EB7"/>
    <w:rsid w:val="006B32FC"/>
    <w:rsid w:val="006B3E11"/>
    <w:rsid w:val="006B5F77"/>
    <w:rsid w:val="006C5C27"/>
    <w:rsid w:val="006C626C"/>
    <w:rsid w:val="006D4957"/>
    <w:rsid w:val="006D74B8"/>
    <w:rsid w:val="006E197D"/>
    <w:rsid w:val="006E2CB4"/>
    <w:rsid w:val="006E57BC"/>
    <w:rsid w:val="006E6FE5"/>
    <w:rsid w:val="006E7174"/>
    <w:rsid w:val="006F033A"/>
    <w:rsid w:val="006F75EE"/>
    <w:rsid w:val="00703241"/>
    <w:rsid w:val="007076D1"/>
    <w:rsid w:val="00707DCA"/>
    <w:rsid w:val="00712FBB"/>
    <w:rsid w:val="00714D6B"/>
    <w:rsid w:val="00715FCC"/>
    <w:rsid w:val="0071692F"/>
    <w:rsid w:val="0072484A"/>
    <w:rsid w:val="007351DE"/>
    <w:rsid w:val="007434D8"/>
    <w:rsid w:val="00743DA9"/>
    <w:rsid w:val="007445B2"/>
    <w:rsid w:val="00751743"/>
    <w:rsid w:val="00755013"/>
    <w:rsid w:val="00763C26"/>
    <w:rsid w:val="00766079"/>
    <w:rsid w:val="00767888"/>
    <w:rsid w:val="00771B1B"/>
    <w:rsid w:val="0077737B"/>
    <w:rsid w:val="00785278"/>
    <w:rsid w:val="00787916"/>
    <w:rsid w:val="007908AE"/>
    <w:rsid w:val="007910FC"/>
    <w:rsid w:val="00796C1A"/>
    <w:rsid w:val="007A2FFF"/>
    <w:rsid w:val="007A41D5"/>
    <w:rsid w:val="007A6414"/>
    <w:rsid w:val="007B0D91"/>
    <w:rsid w:val="007B1A3C"/>
    <w:rsid w:val="007B5951"/>
    <w:rsid w:val="007B5DD1"/>
    <w:rsid w:val="007C28A3"/>
    <w:rsid w:val="007C6F80"/>
    <w:rsid w:val="007C74C1"/>
    <w:rsid w:val="007D5D7A"/>
    <w:rsid w:val="007D7FC9"/>
    <w:rsid w:val="007E1D36"/>
    <w:rsid w:val="007E1FA8"/>
    <w:rsid w:val="007E77E9"/>
    <w:rsid w:val="00800779"/>
    <w:rsid w:val="008015B7"/>
    <w:rsid w:val="00815B75"/>
    <w:rsid w:val="008200DC"/>
    <w:rsid w:val="008232B9"/>
    <w:rsid w:val="008302F3"/>
    <w:rsid w:val="008337AC"/>
    <w:rsid w:val="00835EF1"/>
    <w:rsid w:val="008363D9"/>
    <w:rsid w:val="00846030"/>
    <w:rsid w:val="0084733E"/>
    <w:rsid w:val="0086318C"/>
    <w:rsid w:val="00864AD1"/>
    <w:rsid w:val="008674AC"/>
    <w:rsid w:val="00871168"/>
    <w:rsid w:val="00876F62"/>
    <w:rsid w:val="00880608"/>
    <w:rsid w:val="00881CC7"/>
    <w:rsid w:val="00886877"/>
    <w:rsid w:val="00887208"/>
    <w:rsid w:val="00890AF5"/>
    <w:rsid w:val="00894BD9"/>
    <w:rsid w:val="008A005E"/>
    <w:rsid w:val="008A24CA"/>
    <w:rsid w:val="008A3ECB"/>
    <w:rsid w:val="008A59C9"/>
    <w:rsid w:val="008A6371"/>
    <w:rsid w:val="008A6783"/>
    <w:rsid w:val="008C18FF"/>
    <w:rsid w:val="008D069D"/>
    <w:rsid w:val="008D2BD5"/>
    <w:rsid w:val="008D777B"/>
    <w:rsid w:val="008E1121"/>
    <w:rsid w:val="008E1A75"/>
    <w:rsid w:val="008E1D59"/>
    <w:rsid w:val="008E21DE"/>
    <w:rsid w:val="008E31D0"/>
    <w:rsid w:val="008E4591"/>
    <w:rsid w:val="008E67C6"/>
    <w:rsid w:val="008F1B46"/>
    <w:rsid w:val="008F3C49"/>
    <w:rsid w:val="008F42EB"/>
    <w:rsid w:val="008F771A"/>
    <w:rsid w:val="009030E1"/>
    <w:rsid w:val="009120E0"/>
    <w:rsid w:val="009145ED"/>
    <w:rsid w:val="00921F18"/>
    <w:rsid w:val="009232FC"/>
    <w:rsid w:val="00926820"/>
    <w:rsid w:val="00931AE9"/>
    <w:rsid w:val="00941C51"/>
    <w:rsid w:val="00961DC8"/>
    <w:rsid w:val="00964CFF"/>
    <w:rsid w:val="009676A9"/>
    <w:rsid w:val="009677E3"/>
    <w:rsid w:val="00971C95"/>
    <w:rsid w:val="00975256"/>
    <w:rsid w:val="009831CB"/>
    <w:rsid w:val="009859C7"/>
    <w:rsid w:val="00991675"/>
    <w:rsid w:val="0099777E"/>
    <w:rsid w:val="009978A7"/>
    <w:rsid w:val="009A06C8"/>
    <w:rsid w:val="009A09AA"/>
    <w:rsid w:val="009A11B1"/>
    <w:rsid w:val="009A5956"/>
    <w:rsid w:val="009B4261"/>
    <w:rsid w:val="009B67F0"/>
    <w:rsid w:val="009C2615"/>
    <w:rsid w:val="009C6303"/>
    <w:rsid w:val="009C7489"/>
    <w:rsid w:val="009D1B84"/>
    <w:rsid w:val="009D7D4E"/>
    <w:rsid w:val="009F200E"/>
    <w:rsid w:val="009F34F6"/>
    <w:rsid w:val="009F70AA"/>
    <w:rsid w:val="00A07E4A"/>
    <w:rsid w:val="00A1045A"/>
    <w:rsid w:val="00A1552C"/>
    <w:rsid w:val="00A16B01"/>
    <w:rsid w:val="00A176AC"/>
    <w:rsid w:val="00A26F0D"/>
    <w:rsid w:val="00A2785C"/>
    <w:rsid w:val="00A279A5"/>
    <w:rsid w:val="00A320B2"/>
    <w:rsid w:val="00A342D5"/>
    <w:rsid w:val="00A36491"/>
    <w:rsid w:val="00A370E7"/>
    <w:rsid w:val="00A44325"/>
    <w:rsid w:val="00A44D42"/>
    <w:rsid w:val="00A51A30"/>
    <w:rsid w:val="00A51A9F"/>
    <w:rsid w:val="00A520AE"/>
    <w:rsid w:val="00A56018"/>
    <w:rsid w:val="00A60E69"/>
    <w:rsid w:val="00A612B1"/>
    <w:rsid w:val="00A6178B"/>
    <w:rsid w:val="00A62B9B"/>
    <w:rsid w:val="00A64826"/>
    <w:rsid w:val="00A70EB4"/>
    <w:rsid w:val="00A71FEB"/>
    <w:rsid w:val="00A75E1B"/>
    <w:rsid w:val="00A767F3"/>
    <w:rsid w:val="00A76F8A"/>
    <w:rsid w:val="00A7784D"/>
    <w:rsid w:val="00A82867"/>
    <w:rsid w:val="00A8475F"/>
    <w:rsid w:val="00A915F4"/>
    <w:rsid w:val="00A941D9"/>
    <w:rsid w:val="00AA2ED6"/>
    <w:rsid w:val="00AB12D5"/>
    <w:rsid w:val="00AB7ECB"/>
    <w:rsid w:val="00AD2030"/>
    <w:rsid w:val="00AD2052"/>
    <w:rsid w:val="00AD5213"/>
    <w:rsid w:val="00AD6A73"/>
    <w:rsid w:val="00AD735D"/>
    <w:rsid w:val="00AD779C"/>
    <w:rsid w:val="00AE1879"/>
    <w:rsid w:val="00AE66BA"/>
    <w:rsid w:val="00AF0899"/>
    <w:rsid w:val="00AF5EA9"/>
    <w:rsid w:val="00B0248F"/>
    <w:rsid w:val="00B0295E"/>
    <w:rsid w:val="00B10783"/>
    <w:rsid w:val="00B14842"/>
    <w:rsid w:val="00B16FBD"/>
    <w:rsid w:val="00B204FC"/>
    <w:rsid w:val="00B21155"/>
    <w:rsid w:val="00B22BCC"/>
    <w:rsid w:val="00B500B9"/>
    <w:rsid w:val="00B56B27"/>
    <w:rsid w:val="00B603C0"/>
    <w:rsid w:val="00B701C0"/>
    <w:rsid w:val="00B718D8"/>
    <w:rsid w:val="00B74C99"/>
    <w:rsid w:val="00B75CE8"/>
    <w:rsid w:val="00B76D9B"/>
    <w:rsid w:val="00B90623"/>
    <w:rsid w:val="00BA1E27"/>
    <w:rsid w:val="00BA7506"/>
    <w:rsid w:val="00BA7CC8"/>
    <w:rsid w:val="00BB12BB"/>
    <w:rsid w:val="00BB2EBA"/>
    <w:rsid w:val="00BC1F92"/>
    <w:rsid w:val="00BC3896"/>
    <w:rsid w:val="00BD0BFC"/>
    <w:rsid w:val="00BD1E20"/>
    <w:rsid w:val="00BD1E78"/>
    <w:rsid w:val="00BD35B6"/>
    <w:rsid w:val="00BD4950"/>
    <w:rsid w:val="00BF5B12"/>
    <w:rsid w:val="00BF5D94"/>
    <w:rsid w:val="00BF6E18"/>
    <w:rsid w:val="00C02452"/>
    <w:rsid w:val="00C0421C"/>
    <w:rsid w:val="00C14289"/>
    <w:rsid w:val="00C25556"/>
    <w:rsid w:val="00C26A75"/>
    <w:rsid w:val="00C31A9B"/>
    <w:rsid w:val="00C33EEF"/>
    <w:rsid w:val="00C5273A"/>
    <w:rsid w:val="00C530B1"/>
    <w:rsid w:val="00C54266"/>
    <w:rsid w:val="00C71F06"/>
    <w:rsid w:val="00C737F9"/>
    <w:rsid w:val="00C75CAF"/>
    <w:rsid w:val="00C80EF1"/>
    <w:rsid w:val="00C85308"/>
    <w:rsid w:val="00C959E9"/>
    <w:rsid w:val="00C979E9"/>
    <w:rsid w:val="00CB0CD9"/>
    <w:rsid w:val="00CB18A8"/>
    <w:rsid w:val="00CC1A35"/>
    <w:rsid w:val="00CC6119"/>
    <w:rsid w:val="00CD17D1"/>
    <w:rsid w:val="00CE26B3"/>
    <w:rsid w:val="00CE4A14"/>
    <w:rsid w:val="00CE6D14"/>
    <w:rsid w:val="00CF0F03"/>
    <w:rsid w:val="00CF1544"/>
    <w:rsid w:val="00D00184"/>
    <w:rsid w:val="00D0494E"/>
    <w:rsid w:val="00D14DA6"/>
    <w:rsid w:val="00D20A13"/>
    <w:rsid w:val="00D2136F"/>
    <w:rsid w:val="00D21CE5"/>
    <w:rsid w:val="00D21E09"/>
    <w:rsid w:val="00D25987"/>
    <w:rsid w:val="00D267B0"/>
    <w:rsid w:val="00D31F26"/>
    <w:rsid w:val="00D41B27"/>
    <w:rsid w:val="00D43E5F"/>
    <w:rsid w:val="00D45412"/>
    <w:rsid w:val="00D4619A"/>
    <w:rsid w:val="00D51C56"/>
    <w:rsid w:val="00D60084"/>
    <w:rsid w:val="00D608F6"/>
    <w:rsid w:val="00D66BC9"/>
    <w:rsid w:val="00D807AC"/>
    <w:rsid w:val="00D80936"/>
    <w:rsid w:val="00D818E5"/>
    <w:rsid w:val="00D93D1B"/>
    <w:rsid w:val="00D95845"/>
    <w:rsid w:val="00D97C16"/>
    <w:rsid w:val="00DA3FD5"/>
    <w:rsid w:val="00DA4E1C"/>
    <w:rsid w:val="00DB4A62"/>
    <w:rsid w:val="00DB5D16"/>
    <w:rsid w:val="00DC28A1"/>
    <w:rsid w:val="00DC4B89"/>
    <w:rsid w:val="00DD3818"/>
    <w:rsid w:val="00DD3DF2"/>
    <w:rsid w:val="00DD790E"/>
    <w:rsid w:val="00DE1691"/>
    <w:rsid w:val="00DE52E2"/>
    <w:rsid w:val="00DF3A46"/>
    <w:rsid w:val="00DF74BA"/>
    <w:rsid w:val="00E01E1E"/>
    <w:rsid w:val="00E06B80"/>
    <w:rsid w:val="00E15F41"/>
    <w:rsid w:val="00E219B1"/>
    <w:rsid w:val="00E234EE"/>
    <w:rsid w:val="00E274D6"/>
    <w:rsid w:val="00E27695"/>
    <w:rsid w:val="00E41BA2"/>
    <w:rsid w:val="00E462B7"/>
    <w:rsid w:val="00E52E68"/>
    <w:rsid w:val="00E54141"/>
    <w:rsid w:val="00E54DD2"/>
    <w:rsid w:val="00E5677A"/>
    <w:rsid w:val="00E56F2F"/>
    <w:rsid w:val="00E57D7B"/>
    <w:rsid w:val="00E67804"/>
    <w:rsid w:val="00E77CBA"/>
    <w:rsid w:val="00E81848"/>
    <w:rsid w:val="00E87F4E"/>
    <w:rsid w:val="00E907D1"/>
    <w:rsid w:val="00E93772"/>
    <w:rsid w:val="00E97955"/>
    <w:rsid w:val="00EA1387"/>
    <w:rsid w:val="00EA31C9"/>
    <w:rsid w:val="00EA3635"/>
    <w:rsid w:val="00EA3E6F"/>
    <w:rsid w:val="00EB4D7F"/>
    <w:rsid w:val="00EC2951"/>
    <w:rsid w:val="00EC6E01"/>
    <w:rsid w:val="00ED2E00"/>
    <w:rsid w:val="00ED32E2"/>
    <w:rsid w:val="00ED388C"/>
    <w:rsid w:val="00EE1AA6"/>
    <w:rsid w:val="00EE2D53"/>
    <w:rsid w:val="00EE2F85"/>
    <w:rsid w:val="00EE4288"/>
    <w:rsid w:val="00EF6494"/>
    <w:rsid w:val="00F0291E"/>
    <w:rsid w:val="00F132A3"/>
    <w:rsid w:val="00F2214D"/>
    <w:rsid w:val="00F226E9"/>
    <w:rsid w:val="00F27D7E"/>
    <w:rsid w:val="00F300B8"/>
    <w:rsid w:val="00F30677"/>
    <w:rsid w:val="00F339A1"/>
    <w:rsid w:val="00F34B60"/>
    <w:rsid w:val="00F36873"/>
    <w:rsid w:val="00F43457"/>
    <w:rsid w:val="00F4416A"/>
    <w:rsid w:val="00F70925"/>
    <w:rsid w:val="00F7392C"/>
    <w:rsid w:val="00F85282"/>
    <w:rsid w:val="00F86B38"/>
    <w:rsid w:val="00F91026"/>
    <w:rsid w:val="00F91828"/>
    <w:rsid w:val="00F921CD"/>
    <w:rsid w:val="00F9318C"/>
    <w:rsid w:val="00F9594A"/>
    <w:rsid w:val="00FA1A2B"/>
    <w:rsid w:val="00FB1C3D"/>
    <w:rsid w:val="00FB3062"/>
    <w:rsid w:val="00FB786B"/>
    <w:rsid w:val="00FC578F"/>
    <w:rsid w:val="00FC678D"/>
    <w:rsid w:val="00FD1BD6"/>
    <w:rsid w:val="00FE4D12"/>
    <w:rsid w:val="00FF1E04"/>
    <w:rsid w:val="00FF4D90"/>
    <w:rsid w:val="00FF767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5DC9E432-690E-458D-B771-8CCB90AB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CA"/>
    <w:pPr>
      <w:suppressAutoHyphens/>
      <w:spacing w:line="360" w:lineRule="auto"/>
    </w:pPr>
    <w:rPr>
      <w:rFonts w:ascii="Calibri" w:hAnsi="Calibri"/>
    </w:rPr>
  </w:style>
  <w:style w:type="paragraph" w:styleId="Heading1">
    <w:name w:val="heading 1"/>
    <w:basedOn w:val="Normal"/>
    <w:next w:val="Normal"/>
    <w:link w:val="Heading1Char"/>
    <w:uiPriority w:val="4"/>
    <w:qFormat/>
    <w:rsid w:val="00242468"/>
    <w:pPr>
      <w:keepNext/>
      <w:keepLines/>
      <w:pageBreakBefore/>
      <w:spacing w:before="560" w:after="360" w:line="700" w:lineRule="atLeast"/>
      <w:outlineLvl w:val="0"/>
    </w:pPr>
    <w:rPr>
      <w:rFonts w:eastAsiaTheme="majorEastAsia" w:cstheme="majorBidi"/>
      <w:b/>
      <w:color w:val="0C233F"/>
      <w:sz w:val="60"/>
      <w:szCs w:val="32"/>
    </w:rPr>
  </w:style>
  <w:style w:type="paragraph" w:styleId="Heading2">
    <w:name w:val="heading 2"/>
    <w:basedOn w:val="Normal"/>
    <w:next w:val="Normal"/>
    <w:link w:val="Heading2Char"/>
    <w:uiPriority w:val="4"/>
    <w:qFormat/>
    <w:rsid w:val="006E57BC"/>
    <w:pPr>
      <w:keepNext/>
      <w:keepLines/>
      <w:spacing w:before="280" w:line="420" w:lineRule="atLeast"/>
      <w:outlineLvl w:val="1"/>
    </w:pPr>
    <w:rPr>
      <w:rFonts w:eastAsiaTheme="majorEastAsia" w:cstheme="majorBidi"/>
      <w:b/>
      <w:color w:val="0C233F"/>
      <w:sz w:val="36"/>
      <w:szCs w:val="26"/>
    </w:rPr>
  </w:style>
  <w:style w:type="paragraph" w:styleId="Heading3">
    <w:name w:val="heading 3"/>
    <w:basedOn w:val="Normal"/>
    <w:next w:val="Normal"/>
    <w:link w:val="Heading3Char"/>
    <w:autoRedefine/>
    <w:uiPriority w:val="4"/>
    <w:qFormat/>
    <w:rsid w:val="006E57BC"/>
    <w:pPr>
      <w:keepNext/>
      <w:keepLines/>
      <w:spacing w:before="280" w:after="240" w:line="340" w:lineRule="atLeast"/>
      <w:outlineLvl w:val="2"/>
    </w:pPr>
    <w:rPr>
      <w:rFonts w:eastAsiaTheme="majorEastAsia" w:cstheme="majorBidi"/>
      <w:b/>
      <w:color w:val="0C233F"/>
      <w:sz w:val="28"/>
      <w:szCs w:val="24"/>
    </w:rPr>
  </w:style>
  <w:style w:type="paragraph" w:styleId="Heading4">
    <w:name w:val="heading 4"/>
    <w:basedOn w:val="Normal"/>
    <w:next w:val="Normal"/>
    <w:link w:val="Heading4Char"/>
    <w:autoRedefine/>
    <w:uiPriority w:val="4"/>
    <w:unhideWhenUsed/>
    <w:qFormat/>
    <w:rsid w:val="00707DCA"/>
    <w:pPr>
      <w:keepNext/>
      <w:keepLines/>
      <w:spacing w:before="28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99777E"/>
    <w:pPr>
      <w:tabs>
        <w:tab w:val="right" w:pos="9923"/>
      </w:tabs>
      <w:spacing w:before="0" w:after="0"/>
      <w:jc w:val="right"/>
    </w:pPr>
    <w:rPr>
      <w:color w:val="auto"/>
    </w:rPr>
  </w:style>
  <w:style w:type="character" w:customStyle="1" w:styleId="FooterChar">
    <w:name w:val="Footer Char"/>
    <w:aliases w:val="Footer - white Char"/>
    <w:basedOn w:val="DefaultParagraphFont"/>
    <w:link w:val="Footer"/>
    <w:uiPriority w:val="99"/>
    <w:rsid w:val="0099777E"/>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6E57BC"/>
    <w:rPr>
      <w:rFonts w:ascii="Calibri" w:eastAsiaTheme="majorEastAsia" w:hAnsi="Calibri" w:cstheme="majorBidi"/>
      <w:b/>
      <w:color w:val="0C233F"/>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881CC7"/>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aliases w:val="AFPC Footnote Reference,NO"/>
    <w:basedOn w:val="DefaultParagraphFont"/>
    <w:rsid w:val="00AF0899"/>
    <w:rPr>
      <w:rFonts w:ascii="Lato" w:hAnsi="Lato"/>
      <w:vertAlign w:val="superscript"/>
    </w:rPr>
  </w:style>
  <w:style w:type="paragraph" w:styleId="FootnoteText">
    <w:name w:val="footnote text"/>
    <w:aliases w:val="Footnote Text Char2 Char,Footnote Text Char1 Char Char1,Footnote Text Char Char Char Char1,Footnote Text Char Char1 Char1,Footnote Text Char1 Char1,Footnote Text Char Char Char,Footnote Text Char1 Char Char Char,Car,FN,AFPC Footnote Text"/>
    <w:basedOn w:val="Normal"/>
    <w:link w:val="FootnoteTextChar"/>
    <w:rsid w:val="00AF0899"/>
    <w:pPr>
      <w:spacing w:before="60" w:after="60"/>
    </w:pPr>
    <w:rPr>
      <w:sz w:val="18"/>
    </w:rPr>
  </w:style>
  <w:style w:type="character" w:customStyle="1" w:styleId="FootnoteTextChar">
    <w:name w:val="Footnote Text Char"/>
    <w:aliases w:val="Footnote Text Char2 Char Char,Footnote Text Char1 Char Char1 Char,Footnote Text Char Char Char Char1 Char,Footnote Text Char Char1 Char1 Char,Footnote Text Char1 Char1 Char,Footnote Text Char Char Char Char,Car Char,FN Char"/>
    <w:basedOn w:val="DefaultParagraphFont"/>
    <w:link w:val="FootnoteText"/>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242468"/>
    <w:rPr>
      <w:rFonts w:ascii="Calibri" w:eastAsiaTheme="majorEastAsia" w:hAnsi="Calibri" w:cstheme="majorBidi"/>
      <w:b/>
      <w:color w:val="0C233F"/>
      <w:sz w:val="60"/>
      <w:szCs w:val="32"/>
    </w:rPr>
  </w:style>
  <w:style w:type="character" w:customStyle="1" w:styleId="Heading3Char">
    <w:name w:val="Heading 3 Char"/>
    <w:basedOn w:val="DefaultParagraphFont"/>
    <w:link w:val="Heading3"/>
    <w:uiPriority w:val="4"/>
    <w:rsid w:val="006E57BC"/>
    <w:rPr>
      <w:rFonts w:ascii="Calibri" w:eastAsiaTheme="majorEastAsia" w:hAnsi="Calibri" w:cstheme="majorBidi"/>
      <w:b/>
      <w:color w:val="0C233F"/>
      <w:sz w:val="28"/>
      <w:szCs w:val="24"/>
    </w:rPr>
  </w:style>
  <w:style w:type="character" w:customStyle="1" w:styleId="Heading4Char">
    <w:name w:val="Heading 4 Char"/>
    <w:basedOn w:val="DefaultParagraphFont"/>
    <w:link w:val="Heading4"/>
    <w:uiPriority w:val="4"/>
    <w:rsid w:val="00707DCA"/>
    <w:rPr>
      <w:rFonts w:ascii="Calibri" w:eastAsiaTheme="majorEastAsia" w:hAnsi="Calibri" w:cstheme="majorBidi"/>
      <w:b/>
      <w:iCs/>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006F13"/>
    <w:rPr>
      <w:rFonts w:ascii="Lato" w:hAnsi="Lato"/>
      <w:color w:val="E7B100" w:themeColor="accent1"/>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707DCA"/>
    <w:pPr>
      <w:spacing w:before="420" w:after="420" w:line="420" w:lineRule="atLeast"/>
    </w:pPr>
    <w:rPr>
      <w:color w:val="0C233F"/>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33"/>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881CC7"/>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paragraph" w:styleId="Quote">
    <w:name w:val="Quote"/>
    <w:basedOn w:val="Normal"/>
    <w:next w:val="Normal"/>
    <w:link w:val="QuoteChar"/>
    <w:uiPriority w:val="34"/>
    <w:qFormat/>
    <w:rsid w:val="009120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34"/>
    <w:rsid w:val="009120E0"/>
    <w:rPr>
      <w:rFonts w:ascii="Calibri" w:hAnsi="Calibri"/>
      <w:i/>
      <w:iCs/>
      <w:color w:val="404040" w:themeColor="text1" w:themeTint="BF"/>
    </w:rPr>
  </w:style>
  <w:style w:type="paragraph" w:styleId="TOCHeading">
    <w:name w:val="TOC Heading"/>
    <w:basedOn w:val="Heading1"/>
    <w:next w:val="Normal"/>
    <w:uiPriority w:val="39"/>
    <w:unhideWhenUsed/>
    <w:qFormat/>
    <w:rsid w:val="00CB0CD9"/>
    <w:pPr>
      <w:pageBreakBefore w:val="0"/>
      <w:suppressAutoHyphens w:val="0"/>
      <w:spacing w:before="240" w:after="0" w:line="259" w:lineRule="auto"/>
      <w:outlineLvl w:val="9"/>
    </w:pPr>
    <w:rPr>
      <w:rFonts w:asciiTheme="majorHAnsi" w:hAnsiTheme="majorHAnsi"/>
      <w:b w:val="0"/>
      <w:color w:val="AD8400" w:themeColor="accent1" w:themeShade="BF"/>
      <w:sz w:val="32"/>
      <w:lang w:val="en-US"/>
    </w:rPr>
  </w:style>
  <w:style w:type="paragraph" w:styleId="TOC1">
    <w:name w:val="toc 1"/>
    <w:basedOn w:val="Normal"/>
    <w:next w:val="Normal"/>
    <w:autoRedefine/>
    <w:uiPriority w:val="39"/>
    <w:unhideWhenUsed/>
    <w:qFormat/>
    <w:rsid w:val="00CB0CD9"/>
    <w:pPr>
      <w:spacing w:after="100"/>
    </w:pPr>
  </w:style>
  <w:style w:type="paragraph" w:styleId="TOC2">
    <w:name w:val="toc 2"/>
    <w:basedOn w:val="Normal"/>
    <w:next w:val="Normal"/>
    <w:autoRedefine/>
    <w:uiPriority w:val="39"/>
    <w:unhideWhenUsed/>
    <w:rsid w:val="00CB0CD9"/>
    <w:pPr>
      <w:spacing w:after="100"/>
      <w:ind w:left="220"/>
    </w:pPr>
  </w:style>
  <w:style w:type="character" w:styleId="CommentReference">
    <w:name w:val="annotation reference"/>
    <w:basedOn w:val="DefaultParagraphFont"/>
    <w:uiPriority w:val="99"/>
    <w:semiHidden/>
    <w:unhideWhenUsed/>
    <w:rsid w:val="00F85282"/>
    <w:rPr>
      <w:sz w:val="16"/>
      <w:szCs w:val="16"/>
    </w:rPr>
  </w:style>
  <w:style w:type="paragraph" w:styleId="CommentText">
    <w:name w:val="annotation text"/>
    <w:basedOn w:val="Normal"/>
    <w:link w:val="CommentTextChar"/>
    <w:uiPriority w:val="99"/>
    <w:semiHidden/>
    <w:unhideWhenUsed/>
    <w:rsid w:val="00F85282"/>
    <w:pPr>
      <w:spacing w:line="240" w:lineRule="auto"/>
    </w:pPr>
    <w:rPr>
      <w:sz w:val="20"/>
      <w:szCs w:val="20"/>
    </w:rPr>
  </w:style>
  <w:style w:type="character" w:customStyle="1" w:styleId="CommentTextChar">
    <w:name w:val="Comment Text Char"/>
    <w:basedOn w:val="DefaultParagraphFont"/>
    <w:link w:val="CommentText"/>
    <w:uiPriority w:val="99"/>
    <w:semiHidden/>
    <w:rsid w:val="00F8528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85282"/>
    <w:rPr>
      <w:b/>
      <w:bCs/>
    </w:rPr>
  </w:style>
  <w:style w:type="character" w:customStyle="1" w:styleId="CommentSubjectChar">
    <w:name w:val="Comment Subject Char"/>
    <w:basedOn w:val="CommentTextChar"/>
    <w:link w:val="CommentSubject"/>
    <w:uiPriority w:val="99"/>
    <w:semiHidden/>
    <w:rsid w:val="00F85282"/>
    <w:rPr>
      <w:rFonts w:ascii="Calibri" w:hAnsi="Calibri"/>
      <w:b/>
      <w:bCs/>
      <w:sz w:val="20"/>
      <w:szCs w:val="20"/>
    </w:rPr>
  </w:style>
  <w:style w:type="character" w:styleId="UnresolvedMention">
    <w:name w:val="Unresolved Mention"/>
    <w:basedOn w:val="DefaultParagraphFont"/>
    <w:uiPriority w:val="99"/>
    <w:semiHidden/>
    <w:unhideWhenUsed/>
    <w:rsid w:val="00412ACF"/>
    <w:rPr>
      <w:color w:val="605E5C"/>
      <w:shd w:val="clear" w:color="auto" w:fill="E1DFDD"/>
    </w:rPr>
  </w:style>
  <w:style w:type="paragraph" w:styleId="TOC3">
    <w:name w:val="toc 3"/>
    <w:basedOn w:val="Normal"/>
    <w:next w:val="Normal"/>
    <w:autoRedefine/>
    <w:uiPriority w:val="39"/>
    <w:unhideWhenUsed/>
    <w:rsid w:val="0006125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5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wc.gov.au/documents/wage-reviews/2021-22/infonote-2022-23budgetmeasures.docx" TargetMode="External"/><Relationship Id="rId1" Type="http://schemas.openxmlformats.org/officeDocument/2006/relationships/hyperlink" Target="https://www.legislation.gov.au/Details/C2022A0001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889FF6C358674CBC264950D1169B19" ma:contentTypeVersion="12" ma:contentTypeDescription="Create a new document." ma:contentTypeScope="" ma:versionID="ec6e4519c1d524fff45b216d4e17203c">
  <xsd:schema xmlns:xsd="http://www.w3.org/2001/XMLSchema" xmlns:xs="http://www.w3.org/2001/XMLSchema" xmlns:p="http://schemas.microsoft.com/office/2006/metadata/properties" xmlns:ns2="ff12e374-3438-4da0-9a49-f9494b244da9" xmlns:ns3="23df2aa0-1cf6-4951-a9e6-bb46b70a8458" targetNamespace="http://schemas.microsoft.com/office/2006/metadata/properties" ma:root="true" ma:fieldsID="22f62e08a16af50dbc0365f1a6df74d7" ns2:_="" ns3:_="">
    <xsd:import namespace="ff12e374-3438-4da0-9a49-f9494b244da9"/>
    <xsd:import namespace="23df2aa0-1cf6-4951-a9e6-bb46b70a8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2e374-3438-4da0-9a49-f9494b24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f2aa0-1cf6-4951-a9e6-bb46b70a8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B326CDC3-876A-4BEE-B4FD-1C45D9F14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2e374-3438-4da0-9a49-f9494b244da9"/>
    <ds:schemaRef ds:uri="23df2aa0-1cf6-4951-a9e6-bb46b70a8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298</TotalTime>
  <Pages>1</Pages>
  <Words>1331</Words>
  <Characters>7593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David Rozenbes</cp:lastModifiedBy>
  <cp:revision>183</cp:revision>
  <cp:lastPrinted>2019-02-02T17:58:00Z</cp:lastPrinted>
  <dcterms:created xsi:type="dcterms:W3CDTF">2022-05-12T17:34:00Z</dcterms:created>
  <dcterms:modified xsi:type="dcterms:W3CDTF">2022-05-14T00:06:00Z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0x010100F8889FF6C358674CBC264950D1169B19</vt:lpwstr>
  </property>
  <property fmtid="{D5CDD505-2E9C-101B-9397-08002B2CF9AE}" pid="3" name="AuthorIds_UIVersion_7680">
    <vt:lpwstr>42,82</vt:lpwstr>
  </property>
  <property fmtid="{D5CDD505-2E9C-101B-9397-08002B2CF9AE}" pid="4" name="Order">
    <vt:r8>170000</vt:r8>
  </property>
</Properties>
</file>