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E304C" w14:textId="77777777" w:rsidR="00441C13" w:rsidRPr="00421A62" w:rsidRDefault="00441C13" w:rsidP="00441C13">
      <w:pPr>
        <w:spacing w:after="240"/>
        <w:jc w:val="center"/>
        <w:textAlignment w:val="baseline"/>
        <w:rPr>
          <w:rFonts w:eastAsia="Times New Roman" w:cs="Arial"/>
          <w:b/>
          <w:color w:val="000000"/>
          <w:sz w:val="24"/>
          <w:lang w:val="en-AU"/>
        </w:rPr>
      </w:pPr>
      <w:r w:rsidRPr="00421A62">
        <w:rPr>
          <w:rFonts w:eastAsia="Times New Roman" w:cs="Arial"/>
          <w:b/>
          <w:color w:val="000000"/>
          <w:sz w:val="24"/>
          <w:lang w:val="en-AU"/>
        </w:rPr>
        <w:t xml:space="preserve">Table A13 </w:t>
      </w:r>
      <w:r w:rsidRPr="00421A62">
        <w:rPr>
          <w:rFonts w:eastAsia="Times New Roman" w:cs="Arial"/>
          <w:b/>
          <w:color w:val="000000"/>
          <w:sz w:val="24"/>
          <w:lang w:val="en-AU"/>
        </w:rPr>
        <w:br/>
        <w:t xml:space="preserve">Ratio of disposable income of selected households to their </w:t>
      </w:r>
      <w:r w:rsidRPr="00421A62">
        <w:rPr>
          <w:rFonts w:eastAsia="Times New Roman" w:cs="Arial"/>
          <w:b/>
          <w:color w:val="000000"/>
          <w:sz w:val="24"/>
          <w:lang w:val="en-AU"/>
        </w:rPr>
        <w:br/>
        <w:t xml:space="preserve">60 per cent of median income poverty lines </w:t>
      </w:r>
      <w:r w:rsidRPr="00421A62">
        <w:rPr>
          <w:rFonts w:eastAsia="Times New Roman" w:cs="Arial"/>
          <w:b/>
          <w:color w:val="000000"/>
          <w:sz w:val="24"/>
          <w:lang w:val="en-AU"/>
        </w:rPr>
        <w:br/>
        <w:t>September 2019</w:t>
      </w:r>
    </w:p>
    <w:p w14:paraId="22FFB17F" w14:textId="39566A33" w:rsidR="00441C13" w:rsidRPr="00421A62" w:rsidRDefault="00441C13" w:rsidP="00441C13">
      <w:pPr>
        <w:spacing w:after="240"/>
        <w:jc w:val="center"/>
        <w:textAlignment w:val="baseline"/>
        <w:rPr>
          <w:rFonts w:eastAsia="Times New Roman" w:cs="Arial"/>
          <w:color w:val="000000"/>
          <w:sz w:val="24"/>
          <w:lang w:val="en-AU"/>
        </w:rPr>
      </w:pPr>
      <w:r w:rsidRPr="00421A62">
        <w:rPr>
          <w:rFonts w:eastAsia="Times New Roman" w:cs="Arial"/>
          <w:color w:val="000000"/>
          <w:sz w:val="24"/>
          <w:lang w:val="en-AU"/>
        </w:rPr>
        <w:t xml:space="preserve">Adapted from Table 8.6 of the </w:t>
      </w:r>
      <w:r w:rsidRPr="00421A62">
        <w:rPr>
          <w:rFonts w:eastAsia="Times New Roman" w:cs="Arial"/>
          <w:i/>
          <w:color w:val="000000"/>
          <w:sz w:val="24"/>
          <w:lang w:val="en-AU"/>
        </w:rPr>
        <w:t xml:space="preserve">Statistical Report </w:t>
      </w:r>
      <w:r w:rsidRPr="00421A62">
        <w:rPr>
          <w:rFonts w:eastAsia="Times New Roman" w:cs="Arial"/>
          <w:color w:val="000000"/>
          <w:sz w:val="24"/>
          <w:lang w:val="en-AU"/>
        </w:rPr>
        <w:t xml:space="preserve">of </w:t>
      </w:r>
      <w:r w:rsidR="00966676">
        <w:rPr>
          <w:rFonts w:eastAsia="Times New Roman" w:cs="Arial"/>
          <w:color w:val="000000"/>
          <w:sz w:val="24"/>
          <w:lang w:val="en-AU"/>
        </w:rPr>
        <w:t>21 May</w:t>
      </w:r>
      <w:r w:rsidRPr="00421A62">
        <w:rPr>
          <w:rFonts w:eastAsia="Times New Roman" w:cs="Arial"/>
          <w:color w:val="000000"/>
          <w:sz w:val="24"/>
          <w:lang w:val="en-AU"/>
        </w:rPr>
        <w:t xml:space="preserve"> 2020</w:t>
      </w:r>
    </w:p>
    <w:tbl>
      <w:tblPr>
        <w:tblW w:w="5000" w:type="pct"/>
        <w:tblLook w:val="0000" w:firstRow="0" w:lastRow="0" w:firstColumn="0" w:lastColumn="0" w:noHBand="0" w:noVBand="0"/>
      </w:tblPr>
      <w:tblGrid>
        <w:gridCol w:w="1081"/>
        <w:gridCol w:w="1730"/>
        <w:gridCol w:w="1077"/>
        <w:gridCol w:w="1348"/>
        <w:gridCol w:w="1210"/>
        <w:gridCol w:w="1431"/>
        <w:gridCol w:w="1125"/>
      </w:tblGrid>
      <w:tr w:rsidR="00441C13" w:rsidRPr="00421A62" w14:paraId="16050992" w14:textId="77777777" w:rsidTr="00642FD9">
        <w:trPr>
          <w:tblHeader/>
        </w:trPr>
        <w:tc>
          <w:tcPr>
            <w:tcW w:w="600" w:type="pct"/>
            <w:tcBorders>
              <w:top w:val="single" w:sz="7" w:space="0" w:color="000000"/>
              <w:left w:val="single" w:sz="7" w:space="0" w:color="000000"/>
              <w:bottom w:val="single" w:sz="8" w:space="0" w:color="D9D9D9"/>
              <w:right w:val="single" w:sz="7" w:space="0" w:color="000000"/>
            </w:tcBorders>
            <w:shd w:val="clear" w:color="auto" w:fill="241F4E"/>
          </w:tcPr>
          <w:p w14:paraId="46491F77" w14:textId="77777777" w:rsidR="00441C13" w:rsidRPr="00421A62" w:rsidRDefault="00441C13" w:rsidP="00642FD9">
            <w:pPr>
              <w:spacing w:before="120" w:after="120"/>
              <w:jc w:val="center"/>
              <w:textAlignment w:val="baseline"/>
              <w:rPr>
                <w:rFonts w:eastAsia="Times New Roman" w:cs="Arial"/>
                <w:b/>
                <w:color w:val="FFFFFF" w:themeColor="background1"/>
                <w:sz w:val="17"/>
                <w:szCs w:val="17"/>
                <w:lang w:val="en-AU"/>
              </w:rPr>
            </w:pPr>
          </w:p>
        </w:tc>
        <w:tc>
          <w:tcPr>
            <w:tcW w:w="961" w:type="pct"/>
            <w:tcBorders>
              <w:top w:val="single" w:sz="7" w:space="0" w:color="000000"/>
              <w:left w:val="single" w:sz="7" w:space="0" w:color="000000"/>
              <w:bottom w:val="single" w:sz="8" w:space="0" w:color="D9D9D9"/>
              <w:right w:val="single" w:sz="7" w:space="0" w:color="000000"/>
            </w:tcBorders>
            <w:shd w:val="clear" w:color="auto" w:fill="241F4E"/>
          </w:tcPr>
          <w:p w14:paraId="7E48F942" w14:textId="77777777" w:rsidR="00441C13" w:rsidRPr="00421A62" w:rsidRDefault="00441C13" w:rsidP="00642FD9">
            <w:pPr>
              <w:spacing w:before="120" w:after="120"/>
              <w:jc w:val="center"/>
              <w:textAlignment w:val="baseline"/>
              <w:rPr>
                <w:rFonts w:eastAsia="Times New Roman" w:cs="Arial"/>
                <w:b/>
                <w:color w:val="FFFFFF" w:themeColor="background1"/>
                <w:sz w:val="17"/>
                <w:szCs w:val="17"/>
                <w:lang w:val="en-AU"/>
              </w:rPr>
            </w:pPr>
            <w:r w:rsidRPr="00421A62">
              <w:rPr>
                <w:rFonts w:eastAsia="Times New Roman" w:cs="Arial"/>
                <w:b/>
                <w:color w:val="FFFFFF" w:themeColor="background1"/>
                <w:sz w:val="17"/>
                <w:szCs w:val="17"/>
                <w:lang w:val="en-AU"/>
              </w:rPr>
              <w:t>Household</w:t>
            </w:r>
          </w:p>
        </w:tc>
        <w:tc>
          <w:tcPr>
            <w:tcW w:w="598" w:type="pct"/>
            <w:tcBorders>
              <w:top w:val="single" w:sz="7" w:space="0" w:color="000000"/>
              <w:left w:val="single" w:sz="7" w:space="0" w:color="000000"/>
              <w:bottom w:val="single" w:sz="8" w:space="0" w:color="D9D9D9"/>
              <w:right w:val="single" w:sz="7" w:space="0" w:color="000000"/>
            </w:tcBorders>
            <w:shd w:val="clear" w:color="auto" w:fill="241F4E"/>
          </w:tcPr>
          <w:p w14:paraId="508F61CC" w14:textId="77777777" w:rsidR="00441C13" w:rsidRPr="00421A62" w:rsidRDefault="00441C13" w:rsidP="00642FD9">
            <w:pPr>
              <w:spacing w:before="120" w:after="120"/>
              <w:jc w:val="center"/>
              <w:textAlignment w:val="baseline"/>
              <w:rPr>
                <w:rFonts w:eastAsia="Times New Roman" w:cs="Arial"/>
                <w:b/>
                <w:color w:val="FFFFFF" w:themeColor="background1"/>
                <w:sz w:val="17"/>
                <w:szCs w:val="17"/>
                <w:lang w:val="en-AU"/>
              </w:rPr>
            </w:pPr>
            <w:r w:rsidRPr="00421A62">
              <w:rPr>
                <w:rFonts w:eastAsia="Times New Roman" w:cs="Arial"/>
                <w:b/>
                <w:color w:val="FFFFFF" w:themeColor="background1"/>
                <w:sz w:val="17"/>
                <w:szCs w:val="17"/>
                <w:lang w:val="en-AU"/>
              </w:rPr>
              <w:t xml:space="preserve">60% </w:t>
            </w:r>
            <w:r w:rsidRPr="00421A62">
              <w:rPr>
                <w:rFonts w:eastAsia="Times New Roman" w:cs="Arial"/>
                <w:b/>
                <w:color w:val="FFFFFF" w:themeColor="background1"/>
                <w:sz w:val="17"/>
                <w:szCs w:val="17"/>
                <w:lang w:val="en-AU"/>
              </w:rPr>
              <w:br/>
              <w:t xml:space="preserve">median </w:t>
            </w:r>
            <w:r w:rsidRPr="00421A62">
              <w:rPr>
                <w:rFonts w:eastAsia="Times New Roman" w:cs="Arial"/>
                <w:b/>
                <w:color w:val="FFFFFF" w:themeColor="background1"/>
                <w:sz w:val="17"/>
                <w:szCs w:val="17"/>
                <w:lang w:val="en-AU"/>
              </w:rPr>
              <w:br/>
              <w:t>income</w:t>
            </w:r>
            <w:r w:rsidRPr="00421A62">
              <w:rPr>
                <w:rFonts w:eastAsia="Times New Roman" w:cs="Arial"/>
                <w:b/>
                <w:color w:val="FFFFFF" w:themeColor="background1"/>
                <w:sz w:val="17"/>
                <w:szCs w:val="17"/>
                <w:lang w:val="en-AU"/>
              </w:rPr>
              <w:br/>
              <w:t>($ pw)</w:t>
            </w:r>
          </w:p>
        </w:tc>
        <w:tc>
          <w:tcPr>
            <w:tcW w:w="749" w:type="pct"/>
            <w:tcBorders>
              <w:top w:val="single" w:sz="7" w:space="0" w:color="000000"/>
              <w:left w:val="single" w:sz="7" w:space="0" w:color="000000"/>
              <w:bottom w:val="single" w:sz="8" w:space="0" w:color="D9D9D9"/>
              <w:right w:val="single" w:sz="7" w:space="0" w:color="000000"/>
            </w:tcBorders>
            <w:shd w:val="clear" w:color="auto" w:fill="241F4E"/>
          </w:tcPr>
          <w:p w14:paraId="27A79CA9" w14:textId="77777777" w:rsidR="00441C13" w:rsidRPr="00421A62" w:rsidRDefault="00441C13" w:rsidP="00642FD9">
            <w:pPr>
              <w:spacing w:before="120" w:after="120"/>
              <w:jc w:val="center"/>
              <w:textAlignment w:val="baseline"/>
              <w:rPr>
                <w:rFonts w:eastAsia="Times New Roman" w:cs="Arial"/>
                <w:b/>
                <w:color w:val="FFFFFF" w:themeColor="background1"/>
                <w:sz w:val="17"/>
                <w:szCs w:val="17"/>
                <w:lang w:val="en-AU"/>
              </w:rPr>
            </w:pPr>
            <w:r w:rsidRPr="00421A62">
              <w:rPr>
                <w:rFonts w:eastAsia="Times New Roman" w:cs="Arial"/>
                <w:b/>
                <w:color w:val="FFFFFF" w:themeColor="background1"/>
                <w:sz w:val="17"/>
                <w:szCs w:val="17"/>
                <w:lang w:val="en-AU"/>
              </w:rPr>
              <w:t xml:space="preserve">Disposable </w:t>
            </w:r>
            <w:r w:rsidRPr="00421A62">
              <w:rPr>
                <w:rFonts w:eastAsia="Times New Roman" w:cs="Arial"/>
                <w:b/>
                <w:color w:val="FFFFFF" w:themeColor="background1"/>
                <w:sz w:val="17"/>
                <w:szCs w:val="17"/>
                <w:lang w:val="en-AU"/>
              </w:rPr>
              <w:br/>
              <w:t xml:space="preserve">income </w:t>
            </w:r>
            <w:r w:rsidRPr="00421A62">
              <w:rPr>
                <w:rFonts w:eastAsia="Times New Roman" w:cs="Arial"/>
                <w:b/>
                <w:color w:val="FFFFFF" w:themeColor="background1"/>
                <w:sz w:val="17"/>
                <w:szCs w:val="17"/>
                <w:lang w:val="en-AU"/>
              </w:rPr>
              <w:br/>
              <w:t xml:space="preserve">NMW-dependent </w:t>
            </w:r>
            <w:r w:rsidRPr="00421A62">
              <w:rPr>
                <w:rFonts w:eastAsia="Times New Roman" w:cs="Arial"/>
                <w:b/>
                <w:color w:val="FFFFFF" w:themeColor="background1"/>
                <w:sz w:val="17"/>
                <w:szCs w:val="17"/>
                <w:lang w:val="en-AU"/>
              </w:rPr>
              <w:br/>
              <w:t>($ pw)</w:t>
            </w:r>
          </w:p>
        </w:tc>
        <w:tc>
          <w:tcPr>
            <w:tcW w:w="672" w:type="pct"/>
            <w:tcBorders>
              <w:top w:val="single" w:sz="7" w:space="0" w:color="000000"/>
              <w:left w:val="single" w:sz="7" w:space="0" w:color="000000"/>
              <w:bottom w:val="single" w:sz="8" w:space="0" w:color="D9D9D9"/>
              <w:right w:val="single" w:sz="7" w:space="0" w:color="000000"/>
            </w:tcBorders>
            <w:shd w:val="clear" w:color="auto" w:fill="241F4E"/>
          </w:tcPr>
          <w:p w14:paraId="6431D928" w14:textId="77777777" w:rsidR="00441C13" w:rsidRPr="00421A62" w:rsidRDefault="00441C13" w:rsidP="00642FD9">
            <w:pPr>
              <w:spacing w:before="120" w:after="120"/>
              <w:jc w:val="center"/>
              <w:textAlignment w:val="baseline"/>
              <w:rPr>
                <w:rFonts w:eastAsia="Times New Roman" w:cs="Arial"/>
                <w:b/>
                <w:color w:val="FFFFFF" w:themeColor="background1"/>
                <w:sz w:val="17"/>
                <w:szCs w:val="17"/>
                <w:lang w:val="en-AU"/>
              </w:rPr>
            </w:pPr>
            <w:r w:rsidRPr="00421A62">
              <w:rPr>
                <w:rFonts w:eastAsia="Times New Roman" w:cs="Arial"/>
                <w:b/>
                <w:color w:val="FFFFFF" w:themeColor="background1"/>
                <w:sz w:val="17"/>
                <w:szCs w:val="17"/>
                <w:lang w:val="en-AU"/>
              </w:rPr>
              <w:t xml:space="preserve">Ratio </w:t>
            </w:r>
            <w:r w:rsidRPr="00421A62">
              <w:rPr>
                <w:rFonts w:eastAsia="Times New Roman" w:cs="Arial"/>
                <w:b/>
                <w:color w:val="FFFFFF" w:themeColor="background1"/>
                <w:sz w:val="17"/>
                <w:szCs w:val="17"/>
                <w:lang w:val="en-AU"/>
              </w:rPr>
              <w:br/>
              <w:t xml:space="preserve">disposable </w:t>
            </w:r>
            <w:r w:rsidRPr="00421A62">
              <w:rPr>
                <w:rFonts w:eastAsia="Times New Roman" w:cs="Arial"/>
                <w:b/>
                <w:color w:val="FFFFFF" w:themeColor="background1"/>
                <w:sz w:val="17"/>
                <w:szCs w:val="17"/>
                <w:lang w:val="en-AU"/>
              </w:rPr>
              <w:br/>
              <w:t xml:space="preserve">income to </w:t>
            </w:r>
            <w:r w:rsidRPr="00421A62">
              <w:rPr>
                <w:rFonts w:eastAsia="Times New Roman" w:cs="Arial"/>
                <w:b/>
                <w:color w:val="FFFFFF" w:themeColor="background1"/>
                <w:sz w:val="17"/>
                <w:szCs w:val="17"/>
                <w:lang w:val="en-AU"/>
              </w:rPr>
              <w:br/>
              <w:t xml:space="preserve">60% of </w:t>
            </w:r>
            <w:r w:rsidRPr="00421A62">
              <w:rPr>
                <w:rFonts w:eastAsia="Times New Roman" w:cs="Arial"/>
                <w:b/>
                <w:color w:val="FFFFFF" w:themeColor="background1"/>
                <w:sz w:val="17"/>
                <w:szCs w:val="17"/>
                <w:lang w:val="en-AU"/>
              </w:rPr>
              <w:br/>
              <w:t xml:space="preserve">median </w:t>
            </w:r>
            <w:r w:rsidRPr="00421A62">
              <w:rPr>
                <w:rFonts w:eastAsia="Times New Roman" w:cs="Arial"/>
                <w:b/>
                <w:color w:val="FFFFFF" w:themeColor="background1"/>
                <w:sz w:val="17"/>
                <w:szCs w:val="17"/>
                <w:lang w:val="en-AU"/>
              </w:rPr>
              <w:br/>
              <w:t xml:space="preserve">poverty line </w:t>
            </w:r>
            <w:r w:rsidRPr="00421A62">
              <w:rPr>
                <w:rFonts w:eastAsia="Times New Roman" w:cs="Arial"/>
                <w:b/>
                <w:color w:val="FFFFFF" w:themeColor="background1"/>
                <w:sz w:val="17"/>
                <w:szCs w:val="17"/>
                <w:lang w:val="en-AU"/>
              </w:rPr>
              <w:br/>
              <w:t xml:space="preserve">NMW- </w:t>
            </w:r>
            <w:r w:rsidRPr="00421A62">
              <w:rPr>
                <w:rFonts w:eastAsia="Times New Roman" w:cs="Arial"/>
                <w:b/>
                <w:color w:val="FFFFFF" w:themeColor="background1"/>
                <w:sz w:val="17"/>
                <w:szCs w:val="17"/>
                <w:lang w:val="en-AU"/>
              </w:rPr>
              <w:br/>
              <w:t>dependent</w:t>
            </w:r>
          </w:p>
        </w:tc>
        <w:tc>
          <w:tcPr>
            <w:tcW w:w="795" w:type="pct"/>
            <w:tcBorders>
              <w:top w:val="single" w:sz="7" w:space="0" w:color="000000"/>
              <w:left w:val="single" w:sz="7" w:space="0" w:color="000000"/>
              <w:bottom w:val="single" w:sz="8" w:space="0" w:color="D9D9D9"/>
              <w:right w:val="single" w:sz="7" w:space="0" w:color="000000"/>
            </w:tcBorders>
            <w:shd w:val="clear" w:color="auto" w:fill="241F4E"/>
          </w:tcPr>
          <w:p w14:paraId="6764C499" w14:textId="77777777" w:rsidR="00441C13" w:rsidRPr="00421A62" w:rsidRDefault="00441C13" w:rsidP="00642FD9">
            <w:pPr>
              <w:spacing w:before="120" w:after="120"/>
              <w:jc w:val="center"/>
              <w:textAlignment w:val="baseline"/>
              <w:rPr>
                <w:rFonts w:eastAsia="Times New Roman" w:cs="Arial"/>
                <w:b/>
                <w:color w:val="FFFFFF" w:themeColor="background1"/>
                <w:sz w:val="17"/>
                <w:szCs w:val="17"/>
                <w:lang w:val="en-AU"/>
              </w:rPr>
            </w:pPr>
            <w:r w:rsidRPr="00421A62">
              <w:rPr>
                <w:rFonts w:eastAsia="Times New Roman" w:cs="Arial"/>
                <w:b/>
                <w:color w:val="FFFFFF" w:themeColor="background1"/>
                <w:sz w:val="17"/>
                <w:szCs w:val="17"/>
                <w:lang w:val="en-AU"/>
              </w:rPr>
              <w:t xml:space="preserve">Disposable </w:t>
            </w:r>
            <w:r w:rsidRPr="00421A62">
              <w:rPr>
                <w:rFonts w:eastAsia="Times New Roman" w:cs="Arial"/>
                <w:b/>
                <w:color w:val="FFFFFF" w:themeColor="background1"/>
                <w:sz w:val="17"/>
                <w:szCs w:val="17"/>
                <w:lang w:val="en-AU"/>
              </w:rPr>
              <w:br/>
              <w:t xml:space="preserve">income </w:t>
            </w:r>
            <w:r w:rsidRPr="00421A62">
              <w:rPr>
                <w:rFonts w:eastAsia="Times New Roman" w:cs="Arial"/>
                <w:b/>
                <w:color w:val="FFFFFF" w:themeColor="background1"/>
                <w:sz w:val="17"/>
                <w:szCs w:val="17"/>
                <w:lang w:val="en-AU"/>
              </w:rPr>
              <w:br/>
              <w:t>C10-</w:t>
            </w:r>
            <w:r w:rsidRPr="00421A62">
              <w:rPr>
                <w:rFonts w:eastAsia="Times New Roman" w:cs="Arial"/>
                <w:color w:val="FFFFFF" w:themeColor="background1"/>
                <w:sz w:val="17"/>
                <w:szCs w:val="17"/>
                <w:lang w:val="en-AU"/>
              </w:rPr>
              <w:t xml:space="preserve"> </w:t>
            </w:r>
            <w:r w:rsidRPr="00421A62">
              <w:rPr>
                <w:rFonts w:eastAsia="Times New Roman" w:cs="Arial"/>
                <w:color w:val="FFFFFF" w:themeColor="background1"/>
                <w:sz w:val="17"/>
                <w:szCs w:val="17"/>
                <w:lang w:val="en-AU"/>
              </w:rPr>
              <w:br/>
            </w:r>
            <w:r w:rsidRPr="00421A62">
              <w:rPr>
                <w:rFonts w:eastAsia="Times New Roman" w:cs="Arial"/>
                <w:b/>
                <w:color w:val="FFFFFF" w:themeColor="background1"/>
                <w:sz w:val="17"/>
                <w:szCs w:val="17"/>
                <w:lang w:val="en-AU"/>
              </w:rPr>
              <w:t xml:space="preserve">dependent </w:t>
            </w:r>
            <w:r w:rsidRPr="00421A62">
              <w:rPr>
                <w:rFonts w:eastAsia="Times New Roman" w:cs="Arial"/>
                <w:b/>
                <w:color w:val="FFFFFF" w:themeColor="background1"/>
                <w:sz w:val="17"/>
                <w:szCs w:val="17"/>
                <w:lang w:val="en-AU"/>
              </w:rPr>
              <w:br/>
              <w:t xml:space="preserve">($ pw) </w:t>
            </w:r>
            <w:r w:rsidRPr="00421A62">
              <w:rPr>
                <w:rFonts w:eastAsia="Times New Roman" w:cs="Arial"/>
                <w:b/>
                <w:color w:val="FFFFFF" w:themeColor="background1"/>
                <w:sz w:val="17"/>
                <w:szCs w:val="17"/>
                <w:lang w:val="en-AU"/>
              </w:rPr>
              <w:br/>
              <w:t>(estimate)</w:t>
            </w:r>
          </w:p>
        </w:tc>
        <w:tc>
          <w:tcPr>
            <w:tcW w:w="625" w:type="pct"/>
            <w:tcBorders>
              <w:top w:val="single" w:sz="7" w:space="0" w:color="000000"/>
              <w:left w:val="single" w:sz="7" w:space="0" w:color="000000"/>
              <w:bottom w:val="single" w:sz="8" w:space="0" w:color="D9D9D9"/>
              <w:right w:val="single" w:sz="7" w:space="0" w:color="000000"/>
            </w:tcBorders>
            <w:shd w:val="clear" w:color="auto" w:fill="241F4E"/>
          </w:tcPr>
          <w:p w14:paraId="1FD6FF18" w14:textId="77777777" w:rsidR="00441C13" w:rsidRPr="00421A62" w:rsidRDefault="00441C13" w:rsidP="00642FD9">
            <w:pPr>
              <w:spacing w:before="120" w:after="120"/>
              <w:jc w:val="center"/>
              <w:textAlignment w:val="baseline"/>
              <w:rPr>
                <w:rFonts w:eastAsia="Times New Roman" w:cs="Arial"/>
                <w:b/>
                <w:color w:val="FFFFFF" w:themeColor="background1"/>
                <w:sz w:val="17"/>
                <w:szCs w:val="17"/>
                <w:lang w:val="en-AU"/>
              </w:rPr>
            </w:pPr>
            <w:r w:rsidRPr="00421A62">
              <w:rPr>
                <w:rFonts w:eastAsia="Times New Roman" w:cs="Arial"/>
                <w:b/>
                <w:color w:val="FFFFFF" w:themeColor="background1"/>
                <w:sz w:val="17"/>
                <w:szCs w:val="17"/>
                <w:lang w:val="en-AU"/>
              </w:rPr>
              <w:t xml:space="preserve">Ratio </w:t>
            </w:r>
            <w:r w:rsidRPr="00421A62">
              <w:rPr>
                <w:rFonts w:eastAsia="Times New Roman" w:cs="Arial"/>
                <w:b/>
                <w:color w:val="FFFFFF" w:themeColor="background1"/>
                <w:sz w:val="17"/>
                <w:szCs w:val="17"/>
                <w:lang w:val="en-AU"/>
              </w:rPr>
              <w:br/>
              <w:t xml:space="preserve">disposable </w:t>
            </w:r>
            <w:r w:rsidRPr="00421A62">
              <w:rPr>
                <w:rFonts w:eastAsia="Times New Roman" w:cs="Arial"/>
                <w:b/>
                <w:color w:val="FFFFFF" w:themeColor="background1"/>
                <w:sz w:val="17"/>
                <w:szCs w:val="17"/>
                <w:lang w:val="en-AU"/>
              </w:rPr>
              <w:br/>
              <w:t xml:space="preserve">income to </w:t>
            </w:r>
            <w:r w:rsidRPr="00421A62">
              <w:rPr>
                <w:rFonts w:eastAsia="Times New Roman" w:cs="Arial"/>
                <w:b/>
                <w:color w:val="FFFFFF" w:themeColor="background1"/>
                <w:sz w:val="17"/>
                <w:szCs w:val="17"/>
                <w:lang w:val="en-AU"/>
              </w:rPr>
              <w:br/>
              <w:t xml:space="preserve">60% of </w:t>
            </w:r>
            <w:r w:rsidRPr="00421A62">
              <w:rPr>
                <w:rFonts w:eastAsia="Times New Roman" w:cs="Arial"/>
                <w:b/>
                <w:color w:val="FFFFFF" w:themeColor="background1"/>
                <w:sz w:val="17"/>
                <w:szCs w:val="17"/>
                <w:lang w:val="en-AU"/>
              </w:rPr>
              <w:br/>
              <w:t xml:space="preserve">median </w:t>
            </w:r>
            <w:r w:rsidRPr="00421A62">
              <w:rPr>
                <w:rFonts w:eastAsia="Times New Roman" w:cs="Arial"/>
                <w:b/>
                <w:color w:val="FFFFFF" w:themeColor="background1"/>
                <w:sz w:val="17"/>
                <w:szCs w:val="17"/>
                <w:lang w:val="en-AU"/>
              </w:rPr>
              <w:br/>
              <w:t xml:space="preserve">poverty line </w:t>
            </w:r>
            <w:r w:rsidRPr="00421A62">
              <w:rPr>
                <w:rFonts w:eastAsia="Times New Roman" w:cs="Arial"/>
                <w:b/>
                <w:color w:val="FFFFFF" w:themeColor="background1"/>
                <w:sz w:val="17"/>
                <w:szCs w:val="17"/>
                <w:lang w:val="en-AU"/>
              </w:rPr>
              <w:br/>
              <w:t>C10-</w:t>
            </w:r>
            <w:r w:rsidRPr="00421A62">
              <w:rPr>
                <w:rFonts w:eastAsia="Times New Roman" w:cs="Arial"/>
                <w:color w:val="FFFFFF" w:themeColor="background1"/>
                <w:sz w:val="17"/>
                <w:szCs w:val="17"/>
                <w:lang w:val="en-AU"/>
              </w:rPr>
              <w:t xml:space="preserve"> </w:t>
            </w:r>
            <w:r w:rsidRPr="00421A62">
              <w:rPr>
                <w:rFonts w:eastAsia="Times New Roman" w:cs="Arial"/>
                <w:color w:val="FFFFFF" w:themeColor="background1"/>
                <w:sz w:val="17"/>
                <w:szCs w:val="17"/>
                <w:lang w:val="en-AU"/>
              </w:rPr>
              <w:br/>
            </w:r>
            <w:r w:rsidRPr="00421A62">
              <w:rPr>
                <w:rFonts w:eastAsia="Times New Roman" w:cs="Arial"/>
                <w:b/>
                <w:color w:val="FFFFFF" w:themeColor="background1"/>
                <w:sz w:val="17"/>
                <w:szCs w:val="17"/>
                <w:lang w:val="en-AU"/>
              </w:rPr>
              <w:t>dependent</w:t>
            </w:r>
          </w:p>
        </w:tc>
      </w:tr>
      <w:tr w:rsidR="00966676" w:rsidRPr="00421A62" w14:paraId="27155BB5" w14:textId="77777777" w:rsidTr="00A87396">
        <w:tc>
          <w:tcPr>
            <w:tcW w:w="600" w:type="pct"/>
            <w:tcBorders>
              <w:top w:val="single" w:sz="8" w:space="0" w:color="D9D9D9"/>
              <w:left w:val="single" w:sz="8" w:space="0" w:color="D9D9D9"/>
              <w:bottom w:val="single" w:sz="8" w:space="0" w:color="D9D9D9"/>
              <w:right w:val="single" w:sz="8" w:space="0" w:color="D9D9D9"/>
            </w:tcBorders>
          </w:tcPr>
          <w:p w14:paraId="5A4CF550" w14:textId="77777777" w:rsidR="00966676" w:rsidRPr="00421A62" w:rsidRDefault="00966676" w:rsidP="00966676">
            <w:pPr>
              <w:spacing w:before="100" w:after="100"/>
              <w:textAlignment w:val="baseline"/>
              <w:rPr>
                <w:rFonts w:eastAsia="Times New Roman" w:cs="Arial"/>
                <w:b/>
                <w:color w:val="000000"/>
                <w:sz w:val="17"/>
                <w:szCs w:val="17"/>
                <w:lang w:val="en-AU"/>
              </w:rPr>
            </w:pPr>
            <w:r w:rsidRPr="00421A62">
              <w:rPr>
                <w:rFonts w:eastAsia="Times New Roman" w:cs="Arial"/>
                <w:color w:val="000000"/>
                <w:sz w:val="17"/>
                <w:szCs w:val="17"/>
                <w:lang w:val="en-AU"/>
              </w:rPr>
              <w:t>1</w:t>
            </w:r>
          </w:p>
        </w:tc>
        <w:tc>
          <w:tcPr>
            <w:tcW w:w="961" w:type="pct"/>
            <w:tcBorders>
              <w:top w:val="single" w:sz="8" w:space="0" w:color="D9D9D9"/>
              <w:left w:val="single" w:sz="8" w:space="0" w:color="D9D9D9"/>
              <w:bottom w:val="single" w:sz="8" w:space="0" w:color="D9D9D9"/>
              <w:right w:val="single" w:sz="8" w:space="0" w:color="D9D9D9"/>
            </w:tcBorders>
          </w:tcPr>
          <w:p w14:paraId="556BDEA5"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Single adult</w:t>
            </w:r>
          </w:p>
        </w:tc>
        <w:tc>
          <w:tcPr>
            <w:tcW w:w="598" w:type="pct"/>
            <w:tcBorders>
              <w:top w:val="single" w:sz="8" w:space="0" w:color="D9D9D9"/>
              <w:left w:val="single" w:sz="8" w:space="0" w:color="D9D9D9"/>
              <w:bottom w:val="single" w:sz="8" w:space="0" w:color="D9D9D9"/>
              <w:right w:val="single" w:sz="8" w:space="0" w:color="D9D9D9"/>
            </w:tcBorders>
          </w:tcPr>
          <w:p w14:paraId="26493EF4" w14:textId="034A27F5"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555.17</w:t>
            </w:r>
          </w:p>
        </w:tc>
        <w:tc>
          <w:tcPr>
            <w:tcW w:w="749" w:type="pct"/>
            <w:tcBorders>
              <w:top w:val="single" w:sz="8" w:space="0" w:color="D9D9D9"/>
              <w:left w:val="single" w:sz="8" w:space="0" w:color="D9D9D9"/>
              <w:bottom w:val="single" w:sz="8" w:space="0" w:color="D9D9D9"/>
              <w:right w:val="single" w:sz="8" w:space="0" w:color="D9D9D9"/>
            </w:tcBorders>
          </w:tcPr>
          <w:p w14:paraId="6300D667" w14:textId="089EC778"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663.00</w:t>
            </w:r>
          </w:p>
        </w:tc>
        <w:tc>
          <w:tcPr>
            <w:tcW w:w="672" w:type="pct"/>
            <w:tcBorders>
              <w:top w:val="single" w:sz="8" w:space="0" w:color="D9D9D9"/>
              <w:left w:val="single" w:sz="8" w:space="0" w:color="D9D9D9"/>
              <w:bottom w:val="single" w:sz="8" w:space="0" w:color="D9D9D9"/>
              <w:right w:val="single" w:sz="8" w:space="0" w:color="D9D9D9"/>
            </w:tcBorders>
          </w:tcPr>
          <w:p w14:paraId="322E1D5D" w14:textId="1CFE8351"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1.19</w:t>
            </w:r>
          </w:p>
        </w:tc>
        <w:tc>
          <w:tcPr>
            <w:tcW w:w="795" w:type="pct"/>
            <w:tcBorders>
              <w:top w:val="single" w:sz="8" w:space="0" w:color="D9D9D9"/>
              <w:left w:val="single" w:sz="8" w:space="0" w:color="D9D9D9"/>
              <w:bottom w:val="single" w:sz="8" w:space="0" w:color="D9D9D9"/>
              <w:right w:val="single" w:sz="8" w:space="0" w:color="D9D9D9"/>
            </w:tcBorders>
            <w:vAlign w:val="center"/>
          </w:tcPr>
          <w:p w14:paraId="2E293A80" w14:textId="13AB2224"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749.48</w:t>
            </w:r>
          </w:p>
        </w:tc>
        <w:tc>
          <w:tcPr>
            <w:tcW w:w="625" w:type="pct"/>
            <w:tcBorders>
              <w:top w:val="single" w:sz="8" w:space="0" w:color="D9D9D9"/>
              <w:left w:val="single" w:sz="8" w:space="0" w:color="D9D9D9"/>
              <w:bottom w:val="single" w:sz="8" w:space="0" w:color="D9D9D9"/>
              <w:right w:val="single" w:sz="8" w:space="0" w:color="D9D9D9"/>
            </w:tcBorders>
          </w:tcPr>
          <w:p w14:paraId="7EB5FF70" w14:textId="51097019"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1.35</w:t>
            </w:r>
          </w:p>
        </w:tc>
      </w:tr>
      <w:tr w:rsidR="00966676" w:rsidRPr="00421A62" w14:paraId="014A4D39" w14:textId="77777777" w:rsidTr="00A87396">
        <w:tc>
          <w:tcPr>
            <w:tcW w:w="600" w:type="pct"/>
            <w:tcBorders>
              <w:top w:val="single" w:sz="8" w:space="0" w:color="D9D9D9"/>
              <w:left w:val="single" w:sz="8" w:space="0" w:color="D9D9D9"/>
              <w:bottom w:val="single" w:sz="8" w:space="0" w:color="D9D9D9"/>
              <w:right w:val="single" w:sz="8" w:space="0" w:color="D9D9D9"/>
            </w:tcBorders>
          </w:tcPr>
          <w:p w14:paraId="796BF782"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2</w:t>
            </w:r>
          </w:p>
        </w:tc>
        <w:tc>
          <w:tcPr>
            <w:tcW w:w="961" w:type="pct"/>
            <w:tcBorders>
              <w:top w:val="single" w:sz="8" w:space="0" w:color="D9D9D9"/>
              <w:left w:val="single" w:sz="8" w:space="0" w:color="D9D9D9"/>
              <w:bottom w:val="single" w:sz="8" w:space="0" w:color="D9D9D9"/>
              <w:right w:val="single" w:sz="8" w:space="0" w:color="D9D9D9"/>
            </w:tcBorders>
          </w:tcPr>
          <w:p w14:paraId="3E031E61"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Single parent working full time, 1 child</w:t>
            </w:r>
          </w:p>
        </w:tc>
        <w:tc>
          <w:tcPr>
            <w:tcW w:w="598" w:type="pct"/>
            <w:tcBorders>
              <w:top w:val="single" w:sz="8" w:space="0" w:color="D9D9D9"/>
              <w:left w:val="single" w:sz="8" w:space="0" w:color="D9D9D9"/>
              <w:bottom w:val="single" w:sz="8" w:space="0" w:color="D9D9D9"/>
              <w:right w:val="single" w:sz="8" w:space="0" w:color="D9D9D9"/>
            </w:tcBorders>
          </w:tcPr>
          <w:p w14:paraId="18B1354D" w14:textId="59F2E5E6"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721.72</w:t>
            </w:r>
          </w:p>
        </w:tc>
        <w:tc>
          <w:tcPr>
            <w:tcW w:w="749" w:type="pct"/>
            <w:tcBorders>
              <w:top w:val="single" w:sz="8" w:space="0" w:color="D9D9D9"/>
              <w:left w:val="single" w:sz="8" w:space="0" w:color="D9D9D9"/>
              <w:bottom w:val="single" w:sz="8" w:space="0" w:color="D9D9D9"/>
              <w:right w:val="single" w:sz="8" w:space="0" w:color="D9D9D9"/>
            </w:tcBorders>
          </w:tcPr>
          <w:p w14:paraId="61567814" w14:textId="7EF83E41"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928.62</w:t>
            </w:r>
          </w:p>
        </w:tc>
        <w:tc>
          <w:tcPr>
            <w:tcW w:w="672" w:type="pct"/>
            <w:tcBorders>
              <w:top w:val="single" w:sz="8" w:space="0" w:color="D9D9D9"/>
              <w:left w:val="single" w:sz="8" w:space="0" w:color="D9D9D9"/>
              <w:bottom w:val="single" w:sz="8" w:space="0" w:color="D9D9D9"/>
              <w:right w:val="single" w:sz="8" w:space="0" w:color="D9D9D9"/>
            </w:tcBorders>
          </w:tcPr>
          <w:p w14:paraId="4D497E71" w14:textId="246C903B"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1.29</w:t>
            </w:r>
          </w:p>
        </w:tc>
        <w:tc>
          <w:tcPr>
            <w:tcW w:w="795" w:type="pct"/>
            <w:tcBorders>
              <w:top w:val="single" w:sz="8" w:space="0" w:color="D9D9D9"/>
              <w:left w:val="single" w:sz="8" w:space="0" w:color="D9D9D9"/>
              <w:bottom w:val="single" w:sz="8" w:space="0" w:color="D9D9D9"/>
              <w:right w:val="single" w:sz="8" w:space="0" w:color="D9D9D9"/>
            </w:tcBorders>
            <w:vAlign w:val="center"/>
          </w:tcPr>
          <w:p w14:paraId="17849377" w14:textId="766EC5E9"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1,010.41</w:t>
            </w:r>
          </w:p>
        </w:tc>
        <w:tc>
          <w:tcPr>
            <w:tcW w:w="625" w:type="pct"/>
            <w:tcBorders>
              <w:top w:val="single" w:sz="8" w:space="0" w:color="D9D9D9"/>
              <w:left w:val="single" w:sz="8" w:space="0" w:color="D9D9D9"/>
              <w:bottom w:val="single" w:sz="8" w:space="0" w:color="D9D9D9"/>
              <w:right w:val="single" w:sz="8" w:space="0" w:color="D9D9D9"/>
            </w:tcBorders>
          </w:tcPr>
          <w:p w14:paraId="5419EA9C" w14:textId="5AD116D8"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1.40</w:t>
            </w:r>
          </w:p>
        </w:tc>
      </w:tr>
      <w:tr w:rsidR="00966676" w:rsidRPr="00421A62" w14:paraId="500FBCB3" w14:textId="77777777" w:rsidTr="00A87396">
        <w:tc>
          <w:tcPr>
            <w:tcW w:w="600" w:type="pct"/>
            <w:tcBorders>
              <w:top w:val="single" w:sz="8" w:space="0" w:color="D9D9D9"/>
              <w:left w:val="single" w:sz="8" w:space="0" w:color="D9D9D9"/>
              <w:bottom w:val="single" w:sz="8" w:space="0" w:color="D9D9D9"/>
              <w:right w:val="single" w:sz="8" w:space="0" w:color="D9D9D9"/>
            </w:tcBorders>
          </w:tcPr>
          <w:p w14:paraId="1A81426D"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3</w:t>
            </w:r>
          </w:p>
        </w:tc>
        <w:tc>
          <w:tcPr>
            <w:tcW w:w="961" w:type="pct"/>
            <w:tcBorders>
              <w:top w:val="single" w:sz="8" w:space="0" w:color="D9D9D9"/>
              <w:left w:val="single" w:sz="8" w:space="0" w:color="D9D9D9"/>
              <w:bottom w:val="single" w:sz="8" w:space="0" w:color="D9D9D9"/>
              <w:right w:val="single" w:sz="8" w:space="0" w:color="D9D9D9"/>
            </w:tcBorders>
          </w:tcPr>
          <w:p w14:paraId="6BDE0459"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Single parent working part time, 1 child</w:t>
            </w:r>
          </w:p>
        </w:tc>
        <w:tc>
          <w:tcPr>
            <w:tcW w:w="598" w:type="pct"/>
            <w:tcBorders>
              <w:top w:val="single" w:sz="8" w:space="0" w:color="D9D9D9"/>
              <w:left w:val="single" w:sz="8" w:space="0" w:color="D9D9D9"/>
              <w:bottom w:val="single" w:sz="8" w:space="0" w:color="D9D9D9"/>
              <w:right w:val="single" w:sz="8" w:space="0" w:color="D9D9D9"/>
            </w:tcBorders>
          </w:tcPr>
          <w:p w14:paraId="3F59AAE1" w14:textId="0603DAA9"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721.72</w:t>
            </w:r>
          </w:p>
        </w:tc>
        <w:tc>
          <w:tcPr>
            <w:tcW w:w="749" w:type="pct"/>
            <w:tcBorders>
              <w:top w:val="single" w:sz="8" w:space="0" w:color="D9D9D9"/>
              <w:left w:val="single" w:sz="8" w:space="0" w:color="D9D9D9"/>
              <w:bottom w:val="single" w:sz="8" w:space="0" w:color="D9D9D9"/>
              <w:right w:val="single" w:sz="8" w:space="0" w:color="D9D9D9"/>
            </w:tcBorders>
          </w:tcPr>
          <w:p w14:paraId="6DFD4231" w14:textId="38C8878F"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621.21</w:t>
            </w:r>
          </w:p>
        </w:tc>
        <w:tc>
          <w:tcPr>
            <w:tcW w:w="672" w:type="pct"/>
            <w:tcBorders>
              <w:top w:val="single" w:sz="8" w:space="0" w:color="D9D9D9"/>
              <w:left w:val="single" w:sz="8" w:space="0" w:color="D9D9D9"/>
              <w:bottom w:val="single" w:sz="8" w:space="0" w:color="D9D9D9"/>
              <w:right w:val="single" w:sz="8" w:space="0" w:color="D9D9D9"/>
            </w:tcBorders>
          </w:tcPr>
          <w:p w14:paraId="27E14471" w14:textId="225E7B97"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0.86</w:t>
            </w:r>
          </w:p>
        </w:tc>
        <w:tc>
          <w:tcPr>
            <w:tcW w:w="795" w:type="pct"/>
            <w:tcBorders>
              <w:top w:val="single" w:sz="8" w:space="0" w:color="D9D9D9"/>
              <w:left w:val="single" w:sz="8" w:space="0" w:color="D9D9D9"/>
              <w:bottom w:val="single" w:sz="8" w:space="0" w:color="D9D9D9"/>
              <w:right w:val="single" w:sz="8" w:space="0" w:color="D9D9D9"/>
            </w:tcBorders>
            <w:vAlign w:val="center"/>
          </w:tcPr>
          <w:p w14:paraId="080B7999" w14:textId="4A34E6CE"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678.42</w:t>
            </w:r>
          </w:p>
        </w:tc>
        <w:tc>
          <w:tcPr>
            <w:tcW w:w="625" w:type="pct"/>
            <w:tcBorders>
              <w:top w:val="single" w:sz="8" w:space="0" w:color="D9D9D9"/>
              <w:left w:val="single" w:sz="8" w:space="0" w:color="D9D9D9"/>
              <w:bottom w:val="single" w:sz="8" w:space="0" w:color="D9D9D9"/>
              <w:right w:val="single" w:sz="8" w:space="0" w:color="D9D9D9"/>
            </w:tcBorders>
          </w:tcPr>
          <w:p w14:paraId="3B448E31" w14:textId="41025914"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0.94</w:t>
            </w:r>
          </w:p>
        </w:tc>
      </w:tr>
      <w:tr w:rsidR="00966676" w:rsidRPr="00421A62" w14:paraId="7772A414" w14:textId="77777777" w:rsidTr="00A87396">
        <w:tc>
          <w:tcPr>
            <w:tcW w:w="600" w:type="pct"/>
            <w:tcBorders>
              <w:top w:val="single" w:sz="8" w:space="0" w:color="D9D9D9"/>
              <w:left w:val="single" w:sz="8" w:space="0" w:color="D9D9D9"/>
              <w:bottom w:val="single" w:sz="8" w:space="0" w:color="D9D9D9"/>
              <w:right w:val="single" w:sz="8" w:space="0" w:color="D9D9D9"/>
            </w:tcBorders>
          </w:tcPr>
          <w:p w14:paraId="06C70323"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4</w:t>
            </w:r>
          </w:p>
        </w:tc>
        <w:tc>
          <w:tcPr>
            <w:tcW w:w="961" w:type="pct"/>
            <w:tcBorders>
              <w:top w:val="single" w:sz="8" w:space="0" w:color="D9D9D9"/>
              <w:left w:val="single" w:sz="8" w:space="0" w:color="D9D9D9"/>
              <w:bottom w:val="single" w:sz="8" w:space="0" w:color="D9D9D9"/>
              <w:right w:val="single" w:sz="8" w:space="0" w:color="D9D9D9"/>
            </w:tcBorders>
          </w:tcPr>
          <w:p w14:paraId="1BCFFC9B"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Single parent working full time, 2 children</w:t>
            </w:r>
          </w:p>
        </w:tc>
        <w:tc>
          <w:tcPr>
            <w:tcW w:w="598" w:type="pct"/>
            <w:tcBorders>
              <w:top w:val="single" w:sz="8" w:space="0" w:color="D9D9D9"/>
              <w:left w:val="single" w:sz="8" w:space="0" w:color="D9D9D9"/>
              <w:bottom w:val="single" w:sz="8" w:space="0" w:color="D9D9D9"/>
              <w:right w:val="single" w:sz="8" w:space="0" w:color="D9D9D9"/>
            </w:tcBorders>
          </w:tcPr>
          <w:p w14:paraId="151A8434" w14:textId="0972C7A8"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888.27</w:t>
            </w:r>
          </w:p>
        </w:tc>
        <w:tc>
          <w:tcPr>
            <w:tcW w:w="749" w:type="pct"/>
            <w:tcBorders>
              <w:top w:val="single" w:sz="8" w:space="0" w:color="D9D9D9"/>
              <w:left w:val="single" w:sz="8" w:space="0" w:color="D9D9D9"/>
              <w:bottom w:val="single" w:sz="8" w:space="0" w:color="D9D9D9"/>
              <w:right w:val="single" w:sz="8" w:space="0" w:color="D9D9D9"/>
            </w:tcBorders>
          </w:tcPr>
          <w:p w14:paraId="354E73B7" w14:textId="636D1B30"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w:t>
            </w:r>
            <w:r w:rsidR="00150B73">
              <w:rPr>
                <w:rFonts w:eastAsia="Times New Roman" w:cs="Arial"/>
                <w:color w:val="000000"/>
                <w:sz w:val="17"/>
                <w:szCs w:val="17"/>
                <w:lang w:val="en-AU"/>
              </w:rPr>
              <w:t>,</w:t>
            </w:r>
            <w:r>
              <w:rPr>
                <w:rFonts w:eastAsia="Times New Roman" w:cs="Arial"/>
                <w:color w:val="000000"/>
                <w:sz w:val="17"/>
                <w:szCs w:val="17"/>
                <w:lang w:val="en-AU"/>
              </w:rPr>
              <w:t>036.42</w:t>
            </w:r>
          </w:p>
        </w:tc>
        <w:tc>
          <w:tcPr>
            <w:tcW w:w="672" w:type="pct"/>
            <w:tcBorders>
              <w:top w:val="single" w:sz="8" w:space="0" w:color="D9D9D9"/>
              <w:left w:val="single" w:sz="8" w:space="0" w:color="D9D9D9"/>
              <w:bottom w:val="single" w:sz="8" w:space="0" w:color="D9D9D9"/>
              <w:right w:val="single" w:sz="8" w:space="0" w:color="D9D9D9"/>
            </w:tcBorders>
          </w:tcPr>
          <w:p w14:paraId="1DBA0F7F" w14:textId="4DB5C150"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1.17</w:t>
            </w:r>
          </w:p>
        </w:tc>
        <w:tc>
          <w:tcPr>
            <w:tcW w:w="795" w:type="pct"/>
            <w:tcBorders>
              <w:top w:val="single" w:sz="8" w:space="0" w:color="D9D9D9"/>
              <w:left w:val="single" w:sz="8" w:space="0" w:color="D9D9D9"/>
              <w:bottom w:val="single" w:sz="8" w:space="0" w:color="D9D9D9"/>
              <w:right w:val="single" w:sz="8" w:space="0" w:color="D9D9D9"/>
            </w:tcBorders>
            <w:vAlign w:val="center"/>
          </w:tcPr>
          <w:p w14:paraId="05F130B7" w14:textId="12AB611A"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1,128.10</w:t>
            </w:r>
          </w:p>
        </w:tc>
        <w:tc>
          <w:tcPr>
            <w:tcW w:w="625" w:type="pct"/>
            <w:tcBorders>
              <w:top w:val="single" w:sz="8" w:space="0" w:color="D9D9D9"/>
              <w:left w:val="single" w:sz="8" w:space="0" w:color="D9D9D9"/>
              <w:bottom w:val="single" w:sz="8" w:space="0" w:color="D9D9D9"/>
              <w:right w:val="single" w:sz="8" w:space="0" w:color="D9D9D9"/>
            </w:tcBorders>
          </w:tcPr>
          <w:p w14:paraId="10E68B17" w14:textId="0A7750EA"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1.27</w:t>
            </w:r>
          </w:p>
        </w:tc>
      </w:tr>
      <w:tr w:rsidR="00966676" w:rsidRPr="00421A62" w14:paraId="730164CF" w14:textId="77777777" w:rsidTr="00A87396">
        <w:tc>
          <w:tcPr>
            <w:tcW w:w="600" w:type="pct"/>
            <w:tcBorders>
              <w:top w:val="single" w:sz="8" w:space="0" w:color="D9D9D9"/>
              <w:left w:val="single" w:sz="8" w:space="0" w:color="D9D9D9"/>
              <w:bottom w:val="single" w:sz="8" w:space="0" w:color="D9D9D9"/>
              <w:right w:val="single" w:sz="8" w:space="0" w:color="D9D9D9"/>
            </w:tcBorders>
          </w:tcPr>
          <w:p w14:paraId="040D9259"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5</w:t>
            </w:r>
          </w:p>
        </w:tc>
        <w:tc>
          <w:tcPr>
            <w:tcW w:w="961" w:type="pct"/>
            <w:tcBorders>
              <w:top w:val="single" w:sz="8" w:space="0" w:color="D9D9D9"/>
              <w:left w:val="single" w:sz="8" w:space="0" w:color="D9D9D9"/>
              <w:bottom w:val="single" w:sz="8" w:space="0" w:color="D9D9D9"/>
              <w:right w:val="single" w:sz="8" w:space="0" w:color="D9D9D9"/>
            </w:tcBorders>
          </w:tcPr>
          <w:p w14:paraId="17B41635"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Single parent working part time, 2 children</w:t>
            </w:r>
          </w:p>
        </w:tc>
        <w:tc>
          <w:tcPr>
            <w:tcW w:w="598" w:type="pct"/>
            <w:tcBorders>
              <w:top w:val="single" w:sz="8" w:space="0" w:color="D9D9D9"/>
              <w:left w:val="single" w:sz="8" w:space="0" w:color="D9D9D9"/>
              <w:bottom w:val="single" w:sz="8" w:space="0" w:color="D9D9D9"/>
              <w:right w:val="single" w:sz="8" w:space="0" w:color="D9D9D9"/>
            </w:tcBorders>
          </w:tcPr>
          <w:p w14:paraId="72C4B9BB" w14:textId="523EA9CB"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888.27</w:t>
            </w:r>
          </w:p>
        </w:tc>
        <w:tc>
          <w:tcPr>
            <w:tcW w:w="749" w:type="pct"/>
            <w:tcBorders>
              <w:top w:val="single" w:sz="8" w:space="0" w:color="D9D9D9"/>
              <w:left w:val="single" w:sz="8" w:space="0" w:color="D9D9D9"/>
              <w:bottom w:val="single" w:sz="8" w:space="0" w:color="D9D9D9"/>
              <w:right w:val="single" w:sz="8" w:space="0" w:color="D9D9D9"/>
            </w:tcBorders>
          </w:tcPr>
          <w:p w14:paraId="001629E8" w14:textId="0C499EF9"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729.01</w:t>
            </w:r>
          </w:p>
        </w:tc>
        <w:tc>
          <w:tcPr>
            <w:tcW w:w="672" w:type="pct"/>
            <w:tcBorders>
              <w:top w:val="single" w:sz="8" w:space="0" w:color="D9D9D9"/>
              <w:left w:val="single" w:sz="8" w:space="0" w:color="D9D9D9"/>
              <w:bottom w:val="single" w:sz="8" w:space="0" w:color="D9D9D9"/>
              <w:right w:val="single" w:sz="8" w:space="0" w:color="D9D9D9"/>
            </w:tcBorders>
          </w:tcPr>
          <w:p w14:paraId="6D525D34" w14:textId="45D45D28"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0.82</w:t>
            </w:r>
          </w:p>
        </w:tc>
        <w:tc>
          <w:tcPr>
            <w:tcW w:w="795" w:type="pct"/>
            <w:tcBorders>
              <w:top w:val="single" w:sz="8" w:space="0" w:color="D9D9D9"/>
              <w:left w:val="single" w:sz="8" w:space="0" w:color="D9D9D9"/>
              <w:bottom w:val="single" w:sz="8" w:space="0" w:color="D9D9D9"/>
              <w:right w:val="single" w:sz="8" w:space="0" w:color="D9D9D9"/>
            </w:tcBorders>
            <w:vAlign w:val="center"/>
          </w:tcPr>
          <w:p w14:paraId="0BCE8F61" w14:textId="64BA54FB"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790.56</w:t>
            </w:r>
          </w:p>
        </w:tc>
        <w:tc>
          <w:tcPr>
            <w:tcW w:w="625" w:type="pct"/>
            <w:tcBorders>
              <w:top w:val="single" w:sz="8" w:space="0" w:color="D9D9D9"/>
              <w:left w:val="single" w:sz="8" w:space="0" w:color="D9D9D9"/>
              <w:bottom w:val="single" w:sz="8" w:space="0" w:color="D9D9D9"/>
              <w:right w:val="single" w:sz="8" w:space="0" w:color="D9D9D9"/>
            </w:tcBorders>
          </w:tcPr>
          <w:p w14:paraId="0E5F2454" w14:textId="06171995"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0.89</w:t>
            </w:r>
          </w:p>
        </w:tc>
      </w:tr>
      <w:tr w:rsidR="00966676" w:rsidRPr="00421A62" w14:paraId="7CA080CA" w14:textId="77777777" w:rsidTr="00A87396">
        <w:tc>
          <w:tcPr>
            <w:tcW w:w="600" w:type="pct"/>
            <w:tcBorders>
              <w:top w:val="single" w:sz="8" w:space="0" w:color="D9D9D9"/>
              <w:left w:val="single" w:sz="8" w:space="0" w:color="D9D9D9"/>
              <w:bottom w:val="single" w:sz="8" w:space="0" w:color="D9D9D9"/>
              <w:right w:val="single" w:sz="8" w:space="0" w:color="D9D9D9"/>
            </w:tcBorders>
          </w:tcPr>
          <w:p w14:paraId="17853F2E"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6</w:t>
            </w:r>
          </w:p>
        </w:tc>
        <w:tc>
          <w:tcPr>
            <w:tcW w:w="961" w:type="pct"/>
            <w:tcBorders>
              <w:top w:val="single" w:sz="8" w:space="0" w:color="D9D9D9"/>
              <w:left w:val="single" w:sz="8" w:space="0" w:color="D9D9D9"/>
              <w:bottom w:val="single" w:sz="8" w:space="0" w:color="D9D9D9"/>
              <w:right w:val="single" w:sz="8" w:space="0" w:color="D9D9D9"/>
            </w:tcBorders>
          </w:tcPr>
          <w:p w14:paraId="6DD5836D"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Single-earner couple, one with Newstart,</w:t>
            </w:r>
          </w:p>
        </w:tc>
        <w:tc>
          <w:tcPr>
            <w:tcW w:w="598" w:type="pct"/>
            <w:tcBorders>
              <w:top w:val="single" w:sz="8" w:space="0" w:color="D9D9D9"/>
              <w:left w:val="single" w:sz="8" w:space="0" w:color="D9D9D9"/>
              <w:bottom w:val="single" w:sz="8" w:space="0" w:color="D9D9D9"/>
              <w:right w:val="single" w:sz="8" w:space="0" w:color="D9D9D9"/>
            </w:tcBorders>
          </w:tcPr>
          <w:p w14:paraId="331FE3E2" w14:textId="3AFA3D9B"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832.75</w:t>
            </w:r>
          </w:p>
        </w:tc>
        <w:tc>
          <w:tcPr>
            <w:tcW w:w="749" w:type="pct"/>
            <w:tcBorders>
              <w:top w:val="single" w:sz="8" w:space="0" w:color="D9D9D9"/>
              <w:left w:val="single" w:sz="8" w:space="0" w:color="D9D9D9"/>
              <w:bottom w:val="single" w:sz="8" w:space="0" w:color="D9D9D9"/>
              <w:right w:val="single" w:sz="8" w:space="0" w:color="D9D9D9"/>
            </w:tcBorders>
          </w:tcPr>
          <w:p w14:paraId="69763588" w14:textId="4353BF77"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837.03</w:t>
            </w:r>
          </w:p>
        </w:tc>
        <w:tc>
          <w:tcPr>
            <w:tcW w:w="672" w:type="pct"/>
            <w:tcBorders>
              <w:top w:val="single" w:sz="8" w:space="0" w:color="D9D9D9"/>
              <w:left w:val="single" w:sz="8" w:space="0" w:color="D9D9D9"/>
              <w:bottom w:val="single" w:sz="8" w:space="0" w:color="D9D9D9"/>
              <w:right w:val="single" w:sz="8" w:space="0" w:color="D9D9D9"/>
            </w:tcBorders>
          </w:tcPr>
          <w:p w14:paraId="76F099D7" w14:textId="7B20C1F0"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1.01</w:t>
            </w:r>
          </w:p>
        </w:tc>
        <w:tc>
          <w:tcPr>
            <w:tcW w:w="795" w:type="pct"/>
            <w:tcBorders>
              <w:top w:val="single" w:sz="8" w:space="0" w:color="D9D9D9"/>
              <w:left w:val="single" w:sz="8" w:space="0" w:color="D9D9D9"/>
              <w:bottom w:val="single" w:sz="8" w:space="0" w:color="D9D9D9"/>
              <w:right w:val="single" w:sz="8" w:space="0" w:color="D9D9D9"/>
            </w:tcBorders>
            <w:vAlign w:val="center"/>
          </w:tcPr>
          <w:p w14:paraId="074ABB7B" w14:textId="5B5B0BCE"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849.41</w:t>
            </w:r>
          </w:p>
        </w:tc>
        <w:tc>
          <w:tcPr>
            <w:tcW w:w="625" w:type="pct"/>
            <w:tcBorders>
              <w:top w:val="single" w:sz="8" w:space="0" w:color="D9D9D9"/>
              <w:left w:val="single" w:sz="8" w:space="0" w:color="D9D9D9"/>
              <w:bottom w:val="single" w:sz="8" w:space="0" w:color="D9D9D9"/>
              <w:right w:val="single" w:sz="8" w:space="0" w:color="D9D9D9"/>
            </w:tcBorders>
          </w:tcPr>
          <w:p w14:paraId="59070039" w14:textId="53CDF482"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1.02</w:t>
            </w:r>
          </w:p>
        </w:tc>
      </w:tr>
      <w:tr w:rsidR="00966676" w:rsidRPr="00421A62" w14:paraId="684F4A68" w14:textId="77777777" w:rsidTr="00A87396">
        <w:tc>
          <w:tcPr>
            <w:tcW w:w="600" w:type="pct"/>
            <w:tcBorders>
              <w:top w:val="single" w:sz="8" w:space="0" w:color="D9D9D9"/>
              <w:left w:val="single" w:sz="8" w:space="0" w:color="D9D9D9"/>
              <w:bottom w:val="single" w:sz="8" w:space="0" w:color="D9D9D9"/>
              <w:right w:val="single" w:sz="8" w:space="0" w:color="D9D9D9"/>
            </w:tcBorders>
          </w:tcPr>
          <w:p w14:paraId="3479CFC7"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7</w:t>
            </w:r>
          </w:p>
        </w:tc>
        <w:tc>
          <w:tcPr>
            <w:tcW w:w="961" w:type="pct"/>
            <w:tcBorders>
              <w:top w:val="single" w:sz="8" w:space="0" w:color="D9D9D9"/>
              <w:left w:val="single" w:sz="8" w:space="0" w:color="D9D9D9"/>
              <w:bottom w:val="single" w:sz="8" w:space="0" w:color="D9D9D9"/>
              <w:right w:val="single" w:sz="8" w:space="0" w:color="D9D9D9"/>
            </w:tcBorders>
          </w:tcPr>
          <w:p w14:paraId="4024CBA7"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Single-earner couple,</w:t>
            </w:r>
          </w:p>
        </w:tc>
        <w:tc>
          <w:tcPr>
            <w:tcW w:w="598" w:type="pct"/>
            <w:tcBorders>
              <w:top w:val="single" w:sz="8" w:space="0" w:color="D9D9D9"/>
              <w:left w:val="single" w:sz="8" w:space="0" w:color="D9D9D9"/>
              <w:bottom w:val="single" w:sz="8" w:space="0" w:color="D9D9D9"/>
              <w:right w:val="single" w:sz="8" w:space="0" w:color="D9D9D9"/>
            </w:tcBorders>
          </w:tcPr>
          <w:p w14:paraId="5EA58EA6" w14:textId="5170568A"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832.75</w:t>
            </w:r>
          </w:p>
        </w:tc>
        <w:tc>
          <w:tcPr>
            <w:tcW w:w="749" w:type="pct"/>
            <w:tcBorders>
              <w:top w:val="single" w:sz="8" w:space="0" w:color="D9D9D9"/>
              <w:left w:val="single" w:sz="8" w:space="0" w:color="D9D9D9"/>
              <w:bottom w:val="single" w:sz="8" w:space="0" w:color="D9D9D9"/>
              <w:right w:val="single" w:sz="8" w:space="0" w:color="D9D9D9"/>
            </w:tcBorders>
          </w:tcPr>
          <w:p w14:paraId="105E4D00" w14:textId="7CB181B5"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676.42</w:t>
            </w:r>
          </w:p>
        </w:tc>
        <w:tc>
          <w:tcPr>
            <w:tcW w:w="672" w:type="pct"/>
            <w:tcBorders>
              <w:top w:val="single" w:sz="8" w:space="0" w:color="D9D9D9"/>
              <w:left w:val="single" w:sz="8" w:space="0" w:color="D9D9D9"/>
              <w:bottom w:val="single" w:sz="8" w:space="0" w:color="D9D9D9"/>
              <w:right w:val="single" w:sz="8" w:space="0" w:color="D9D9D9"/>
            </w:tcBorders>
          </w:tcPr>
          <w:p w14:paraId="0CBCB28C" w14:textId="2EDB0FD5"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0.81</w:t>
            </w:r>
          </w:p>
        </w:tc>
        <w:tc>
          <w:tcPr>
            <w:tcW w:w="795" w:type="pct"/>
            <w:tcBorders>
              <w:top w:val="single" w:sz="8" w:space="0" w:color="D9D9D9"/>
              <w:left w:val="single" w:sz="8" w:space="0" w:color="D9D9D9"/>
              <w:bottom w:val="single" w:sz="8" w:space="0" w:color="D9D9D9"/>
              <w:right w:val="single" w:sz="8" w:space="0" w:color="D9D9D9"/>
            </w:tcBorders>
            <w:vAlign w:val="center"/>
          </w:tcPr>
          <w:p w14:paraId="3E1A6B84" w14:textId="4EE0C9E2"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757.80</w:t>
            </w:r>
          </w:p>
        </w:tc>
        <w:tc>
          <w:tcPr>
            <w:tcW w:w="625" w:type="pct"/>
            <w:tcBorders>
              <w:top w:val="single" w:sz="8" w:space="0" w:color="D9D9D9"/>
              <w:left w:val="single" w:sz="8" w:space="0" w:color="D9D9D9"/>
              <w:bottom w:val="single" w:sz="8" w:space="0" w:color="D9D9D9"/>
              <w:right w:val="single" w:sz="8" w:space="0" w:color="D9D9D9"/>
            </w:tcBorders>
          </w:tcPr>
          <w:p w14:paraId="169B8BCF" w14:textId="2DF0269C"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0.91</w:t>
            </w:r>
          </w:p>
        </w:tc>
      </w:tr>
      <w:tr w:rsidR="00966676" w:rsidRPr="00421A62" w14:paraId="7B0079E2" w14:textId="77777777" w:rsidTr="00A87396">
        <w:tc>
          <w:tcPr>
            <w:tcW w:w="600" w:type="pct"/>
            <w:tcBorders>
              <w:top w:val="single" w:sz="8" w:space="0" w:color="D9D9D9"/>
              <w:left w:val="single" w:sz="8" w:space="0" w:color="D9D9D9"/>
              <w:bottom w:val="single" w:sz="8" w:space="0" w:color="D9D9D9"/>
              <w:right w:val="single" w:sz="8" w:space="0" w:color="D9D9D9"/>
            </w:tcBorders>
          </w:tcPr>
          <w:p w14:paraId="44E65930"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8</w:t>
            </w:r>
          </w:p>
        </w:tc>
        <w:tc>
          <w:tcPr>
            <w:tcW w:w="961" w:type="pct"/>
            <w:tcBorders>
              <w:top w:val="single" w:sz="8" w:space="0" w:color="D9D9D9"/>
              <w:left w:val="single" w:sz="8" w:space="0" w:color="D9D9D9"/>
              <w:bottom w:val="single" w:sz="8" w:space="0" w:color="D9D9D9"/>
              <w:right w:val="single" w:sz="8" w:space="0" w:color="D9D9D9"/>
            </w:tcBorders>
          </w:tcPr>
          <w:p w14:paraId="53F8655F" w14:textId="77777777" w:rsidR="00966676" w:rsidRPr="00421A62" w:rsidRDefault="00966676" w:rsidP="00966676">
            <w:pPr>
              <w:spacing w:before="100" w:after="100"/>
              <w:ind w:right="324"/>
              <w:textAlignment w:val="baseline"/>
              <w:rPr>
                <w:rFonts w:eastAsia="Times New Roman" w:cs="Arial"/>
                <w:color w:val="000000"/>
                <w:sz w:val="17"/>
                <w:szCs w:val="17"/>
                <w:lang w:val="en-AU"/>
              </w:rPr>
            </w:pPr>
            <w:r w:rsidRPr="00421A62">
              <w:rPr>
                <w:rFonts w:eastAsia="Times New Roman" w:cs="Arial"/>
                <w:color w:val="000000"/>
                <w:sz w:val="17"/>
                <w:szCs w:val="17"/>
                <w:lang w:val="en-AU"/>
              </w:rPr>
              <w:t>Single-earner couple, one with Newstart, 1 child</w:t>
            </w:r>
          </w:p>
        </w:tc>
        <w:tc>
          <w:tcPr>
            <w:tcW w:w="598" w:type="pct"/>
            <w:tcBorders>
              <w:top w:val="single" w:sz="8" w:space="0" w:color="D9D9D9"/>
              <w:left w:val="single" w:sz="8" w:space="0" w:color="D9D9D9"/>
              <w:bottom w:val="single" w:sz="8" w:space="0" w:color="D9D9D9"/>
              <w:right w:val="single" w:sz="8" w:space="0" w:color="D9D9D9"/>
            </w:tcBorders>
          </w:tcPr>
          <w:p w14:paraId="7B55CCAB" w14:textId="7D04C705"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999.30</w:t>
            </w:r>
          </w:p>
        </w:tc>
        <w:tc>
          <w:tcPr>
            <w:tcW w:w="749" w:type="pct"/>
            <w:tcBorders>
              <w:top w:val="single" w:sz="8" w:space="0" w:color="D9D9D9"/>
              <w:left w:val="single" w:sz="8" w:space="0" w:color="D9D9D9"/>
              <w:bottom w:val="single" w:sz="8" w:space="0" w:color="D9D9D9"/>
              <w:right w:val="single" w:sz="8" w:space="0" w:color="D9D9D9"/>
            </w:tcBorders>
          </w:tcPr>
          <w:p w14:paraId="2599B030" w14:textId="6BB8FD6A"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w:t>
            </w:r>
            <w:r w:rsidR="00150B73">
              <w:rPr>
                <w:rFonts w:eastAsia="Times New Roman" w:cs="Arial"/>
                <w:color w:val="000000"/>
                <w:sz w:val="17"/>
                <w:szCs w:val="17"/>
                <w:lang w:val="en-AU"/>
              </w:rPr>
              <w:t>,</w:t>
            </w:r>
            <w:r>
              <w:rPr>
                <w:rFonts w:eastAsia="Times New Roman" w:cs="Arial"/>
                <w:color w:val="000000"/>
                <w:sz w:val="17"/>
                <w:szCs w:val="17"/>
                <w:lang w:val="en-AU"/>
              </w:rPr>
              <w:t>029.92</w:t>
            </w:r>
          </w:p>
        </w:tc>
        <w:tc>
          <w:tcPr>
            <w:tcW w:w="672" w:type="pct"/>
            <w:tcBorders>
              <w:top w:val="single" w:sz="8" w:space="0" w:color="D9D9D9"/>
              <w:left w:val="single" w:sz="8" w:space="0" w:color="D9D9D9"/>
              <w:bottom w:val="single" w:sz="8" w:space="0" w:color="D9D9D9"/>
              <w:right w:val="single" w:sz="8" w:space="0" w:color="D9D9D9"/>
            </w:tcBorders>
          </w:tcPr>
          <w:p w14:paraId="1408E2DA" w14:textId="59D1DE5F"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1.03</w:t>
            </w:r>
          </w:p>
        </w:tc>
        <w:tc>
          <w:tcPr>
            <w:tcW w:w="795" w:type="pct"/>
            <w:tcBorders>
              <w:top w:val="single" w:sz="8" w:space="0" w:color="D9D9D9"/>
              <w:left w:val="single" w:sz="8" w:space="0" w:color="D9D9D9"/>
              <w:bottom w:val="single" w:sz="8" w:space="0" w:color="D9D9D9"/>
              <w:right w:val="single" w:sz="8" w:space="0" w:color="D9D9D9"/>
            </w:tcBorders>
            <w:vAlign w:val="center"/>
          </w:tcPr>
          <w:p w14:paraId="33F38EA0" w14:textId="53B8D3D2"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1,039.27</w:t>
            </w:r>
          </w:p>
        </w:tc>
        <w:tc>
          <w:tcPr>
            <w:tcW w:w="625" w:type="pct"/>
            <w:tcBorders>
              <w:top w:val="single" w:sz="8" w:space="0" w:color="D9D9D9"/>
              <w:left w:val="single" w:sz="8" w:space="0" w:color="D9D9D9"/>
              <w:bottom w:val="single" w:sz="8" w:space="0" w:color="D9D9D9"/>
              <w:right w:val="single" w:sz="8" w:space="0" w:color="D9D9D9"/>
            </w:tcBorders>
          </w:tcPr>
          <w:p w14:paraId="21B36A44" w14:textId="11E8A0F4"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1.04</w:t>
            </w:r>
          </w:p>
        </w:tc>
      </w:tr>
      <w:tr w:rsidR="00966676" w:rsidRPr="00421A62" w14:paraId="3A04AC57" w14:textId="77777777" w:rsidTr="00A87396">
        <w:tc>
          <w:tcPr>
            <w:tcW w:w="600" w:type="pct"/>
            <w:tcBorders>
              <w:top w:val="single" w:sz="8" w:space="0" w:color="D9D9D9"/>
              <w:left w:val="single" w:sz="8" w:space="0" w:color="D9D9D9"/>
              <w:bottom w:val="single" w:sz="8" w:space="0" w:color="D9D9D9"/>
              <w:right w:val="single" w:sz="8" w:space="0" w:color="D9D9D9"/>
            </w:tcBorders>
          </w:tcPr>
          <w:p w14:paraId="5C50C25E"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9</w:t>
            </w:r>
          </w:p>
        </w:tc>
        <w:tc>
          <w:tcPr>
            <w:tcW w:w="961" w:type="pct"/>
            <w:tcBorders>
              <w:top w:val="single" w:sz="8" w:space="0" w:color="D9D9D9"/>
              <w:left w:val="single" w:sz="8" w:space="0" w:color="D9D9D9"/>
              <w:bottom w:val="single" w:sz="8" w:space="0" w:color="D9D9D9"/>
              <w:right w:val="single" w:sz="8" w:space="0" w:color="D9D9D9"/>
            </w:tcBorders>
          </w:tcPr>
          <w:p w14:paraId="213D8650"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Single-earner couple, 1 child</w:t>
            </w:r>
          </w:p>
        </w:tc>
        <w:tc>
          <w:tcPr>
            <w:tcW w:w="598" w:type="pct"/>
            <w:tcBorders>
              <w:top w:val="single" w:sz="8" w:space="0" w:color="D9D9D9"/>
              <w:left w:val="single" w:sz="8" w:space="0" w:color="D9D9D9"/>
              <w:bottom w:val="single" w:sz="8" w:space="0" w:color="D9D9D9"/>
              <w:right w:val="single" w:sz="8" w:space="0" w:color="D9D9D9"/>
            </w:tcBorders>
          </w:tcPr>
          <w:p w14:paraId="50566FB2" w14:textId="000E4324"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999.30</w:t>
            </w:r>
          </w:p>
        </w:tc>
        <w:tc>
          <w:tcPr>
            <w:tcW w:w="749" w:type="pct"/>
            <w:tcBorders>
              <w:top w:val="single" w:sz="8" w:space="0" w:color="D9D9D9"/>
              <w:left w:val="single" w:sz="8" w:space="0" w:color="D9D9D9"/>
              <w:bottom w:val="single" w:sz="8" w:space="0" w:color="D9D9D9"/>
              <w:right w:val="single" w:sz="8" w:space="0" w:color="D9D9D9"/>
            </w:tcBorders>
          </w:tcPr>
          <w:p w14:paraId="1F07E831" w14:textId="4976CAA8"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928.62</w:t>
            </w:r>
          </w:p>
        </w:tc>
        <w:tc>
          <w:tcPr>
            <w:tcW w:w="672" w:type="pct"/>
            <w:tcBorders>
              <w:top w:val="single" w:sz="8" w:space="0" w:color="D9D9D9"/>
              <w:left w:val="single" w:sz="8" w:space="0" w:color="D9D9D9"/>
              <w:bottom w:val="single" w:sz="8" w:space="0" w:color="D9D9D9"/>
              <w:right w:val="single" w:sz="8" w:space="0" w:color="D9D9D9"/>
            </w:tcBorders>
          </w:tcPr>
          <w:p w14:paraId="0D636231" w14:textId="159EB7BD"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0.93</w:t>
            </w:r>
          </w:p>
        </w:tc>
        <w:tc>
          <w:tcPr>
            <w:tcW w:w="795" w:type="pct"/>
            <w:tcBorders>
              <w:top w:val="single" w:sz="8" w:space="0" w:color="D9D9D9"/>
              <w:left w:val="single" w:sz="8" w:space="0" w:color="D9D9D9"/>
              <w:bottom w:val="single" w:sz="8" w:space="0" w:color="D9D9D9"/>
              <w:right w:val="single" w:sz="8" w:space="0" w:color="D9D9D9"/>
            </w:tcBorders>
            <w:vAlign w:val="center"/>
          </w:tcPr>
          <w:p w14:paraId="38BAA2BB" w14:textId="74A31406"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1,009.29</w:t>
            </w:r>
          </w:p>
        </w:tc>
        <w:tc>
          <w:tcPr>
            <w:tcW w:w="625" w:type="pct"/>
            <w:tcBorders>
              <w:top w:val="single" w:sz="8" w:space="0" w:color="D9D9D9"/>
              <w:left w:val="single" w:sz="8" w:space="0" w:color="D9D9D9"/>
              <w:bottom w:val="single" w:sz="8" w:space="0" w:color="D9D9D9"/>
              <w:right w:val="single" w:sz="8" w:space="0" w:color="D9D9D9"/>
            </w:tcBorders>
          </w:tcPr>
          <w:p w14:paraId="6B01AADC" w14:textId="7CCD9D16"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1.01</w:t>
            </w:r>
          </w:p>
        </w:tc>
      </w:tr>
      <w:tr w:rsidR="00966676" w:rsidRPr="00421A62" w14:paraId="33BFBE90" w14:textId="77777777" w:rsidTr="00A87396">
        <w:tc>
          <w:tcPr>
            <w:tcW w:w="600" w:type="pct"/>
            <w:tcBorders>
              <w:top w:val="single" w:sz="8" w:space="0" w:color="D9D9D9"/>
              <w:left w:val="single" w:sz="8" w:space="0" w:color="D9D9D9"/>
              <w:bottom w:val="single" w:sz="8" w:space="0" w:color="D9D9D9"/>
              <w:right w:val="single" w:sz="8" w:space="0" w:color="D9D9D9"/>
            </w:tcBorders>
          </w:tcPr>
          <w:p w14:paraId="6054472B"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10</w:t>
            </w:r>
          </w:p>
        </w:tc>
        <w:tc>
          <w:tcPr>
            <w:tcW w:w="961" w:type="pct"/>
            <w:tcBorders>
              <w:top w:val="single" w:sz="8" w:space="0" w:color="D9D9D9"/>
              <w:left w:val="single" w:sz="8" w:space="0" w:color="D9D9D9"/>
              <w:bottom w:val="single" w:sz="8" w:space="0" w:color="D9D9D9"/>
              <w:right w:val="single" w:sz="8" w:space="0" w:color="D9D9D9"/>
            </w:tcBorders>
          </w:tcPr>
          <w:p w14:paraId="1C3B13FD"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Single-earner couple, one with Newstart 2 children</w:t>
            </w:r>
          </w:p>
        </w:tc>
        <w:tc>
          <w:tcPr>
            <w:tcW w:w="598" w:type="pct"/>
            <w:tcBorders>
              <w:top w:val="single" w:sz="8" w:space="0" w:color="D9D9D9"/>
              <w:left w:val="single" w:sz="8" w:space="0" w:color="D9D9D9"/>
              <w:bottom w:val="single" w:sz="8" w:space="0" w:color="D9D9D9"/>
              <w:right w:val="single" w:sz="8" w:space="0" w:color="D9D9D9"/>
            </w:tcBorders>
          </w:tcPr>
          <w:p w14:paraId="217AA2CF" w14:textId="4752F83F"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1,165.86</w:t>
            </w:r>
          </w:p>
        </w:tc>
        <w:tc>
          <w:tcPr>
            <w:tcW w:w="749" w:type="pct"/>
            <w:tcBorders>
              <w:top w:val="single" w:sz="8" w:space="0" w:color="D9D9D9"/>
              <w:left w:val="single" w:sz="8" w:space="0" w:color="D9D9D9"/>
              <w:bottom w:val="single" w:sz="8" w:space="0" w:color="D9D9D9"/>
              <w:right w:val="single" w:sz="8" w:space="0" w:color="D9D9D9"/>
            </w:tcBorders>
          </w:tcPr>
          <w:p w14:paraId="78C4A721" w14:textId="32DECAD0"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w:t>
            </w:r>
            <w:r w:rsidR="00150B73">
              <w:rPr>
                <w:rFonts w:eastAsia="Times New Roman" w:cs="Arial"/>
                <w:color w:val="000000"/>
                <w:sz w:val="17"/>
                <w:szCs w:val="17"/>
                <w:lang w:val="en-AU"/>
              </w:rPr>
              <w:t>,</w:t>
            </w:r>
            <w:r>
              <w:rPr>
                <w:rFonts w:eastAsia="Times New Roman" w:cs="Arial"/>
                <w:color w:val="000000"/>
                <w:sz w:val="17"/>
                <w:szCs w:val="17"/>
                <w:lang w:val="en-AU"/>
              </w:rPr>
              <w:t>140.44</w:t>
            </w:r>
          </w:p>
        </w:tc>
        <w:tc>
          <w:tcPr>
            <w:tcW w:w="672" w:type="pct"/>
            <w:tcBorders>
              <w:top w:val="single" w:sz="8" w:space="0" w:color="D9D9D9"/>
              <w:left w:val="single" w:sz="8" w:space="0" w:color="D9D9D9"/>
              <w:bottom w:val="single" w:sz="8" w:space="0" w:color="D9D9D9"/>
              <w:right w:val="single" w:sz="8" w:space="0" w:color="D9D9D9"/>
            </w:tcBorders>
          </w:tcPr>
          <w:p w14:paraId="2B4C8537" w14:textId="6BDDFF67"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0.98</w:t>
            </w:r>
          </w:p>
        </w:tc>
        <w:tc>
          <w:tcPr>
            <w:tcW w:w="795" w:type="pct"/>
            <w:tcBorders>
              <w:top w:val="single" w:sz="8" w:space="0" w:color="D9D9D9"/>
              <w:left w:val="single" w:sz="8" w:space="0" w:color="D9D9D9"/>
              <w:bottom w:val="single" w:sz="8" w:space="0" w:color="D9D9D9"/>
              <w:right w:val="single" w:sz="8" w:space="0" w:color="D9D9D9"/>
            </w:tcBorders>
            <w:vAlign w:val="center"/>
          </w:tcPr>
          <w:p w14:paraId="319F5BEF" w14:textId="2F442A3C"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1,154.20</w:t>
            </w:r>
          </w:p>
        </w:tc>
        <w:tc>
          <w:tcPr>
            <w:tcW w:w="625" w:type="pct"/>
            <w:tcBorders>
              <w:top w:val="single" w:sz="8" w:space="0" w:color="D9D9D9"/>
              <w:left w:val="single" w:sz="8" w:space="0" w:color="D9D9D9"/>
              <w:bottom w:val="single" w:sz="8" w:space="0" w:color="D9D9D9"/>
              <w:right w:val="single" w:sz="8" w:space="0" w:color="D9D9D9"/>
            </w:tcBorders>
          </w:tcPr>
          <w:p w14:paraId="4996A834" w14:textId="13A6B64F"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0.99</w:t>
            </w:r>
          </w:p>
        </w:tc>
      </w:tr>
      <w:tr w:rsidR="00966676" w:rsidRPr="00421A62" w14:paraId="0BB4D1EB" w14:textId="77777777" w:rsidTr="00A87396">
        <w:tc>
          <w:tcPr>
            <w:tcW w:w="600" w:type="pct"/>
            <w:tcBorders>
              <w:top w:val="single" w:sz="8" w:space="0" w:color="D9D9D9"/>
              <w:left w:val="single" w:sz="8" w:space="0" w:color="D9D9D9"/>
              <w:bottom w:val="single" w:sz="8" w:space="0" w:color="D9D9D9"/>
              <w:right w:val="single" w:sz="8" w:space="0" w:color="D9D9D9"/>
            </w:tcBorders>
          </w:tcPr>
          <w:p w14:paraId="5DFE74D3"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11</w:t>
            </w:r>
          </w:p>
        </w:tc>
        <w:tc>
          <w:tcPr>
            <w:tcW w:w="961" w:type="pct"/>
            <w:tcBorders>
              <w:top w:val="single" w:sz="8" w:space="0" w:color="D9D9D9"/>
              <w:left w:val="single" w:sz="8" w:space="0" w:color="D9D9D9"/>
              <w:bottom w:val="single" w:sz="8" w:space="0" w:color="D9D9D9"/>
              <w:right w:val="single" w:sz="8" w:space="0" w:color="D9D9D9"/>
            </w:tcBorders>
          </w:tcPr>
          <w:p w14:paraId="05D4ACAE"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Single-earner couple, 2 children</w:t>
            </w:r>
          </w:p>
        </w:tc>
        <w:tc>
          <w:tcPr>
            <w:tcW w:w="598" w:type="pct"/>
            <w:tcBorders>
              <w:top w:val="single" w:sz="8" w:space="0" w:color="D9D9D9"/>
              <w:left w:val="single" w:sz="8" w:space="0" w:color="D9D9D9"/>
              <w:bottom w:val="single" w:sz="8" w:space="0" w:color="D9D9D9"/>
              <w:right w:val="single" w:sz="8" w:space="0" w:color="D9D9D9"/>
            </w:tcBorders>
          </w:tcPr>
          <w:p w14:paraId="4AF14383" w14:textId="550A5B3B"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1,165.86</w:t>
            </w:r>
          </w:p>
        </w:tc>
        <w:tc>
          <w:tcPr>
            <w:tcW w:w="749" w:type="pct"/>
            <w:tcBorders>
              <w:top w:val="single" w:sz="8" w:space="0" w:color="D9D9D9"/>
              <w:left w:val="single" w:sz="8" w:space="0" w:color="D9D9D9"/>
              <w:bottom w:val="single" w:sz="8" w:space="0" w:color="D9D9D9"/>
              <w:right w:val="single" w:sz="8" w:space="0" w:color="D9D9D9"/>
            </w:tcBorders>
          </w:tcPr>
          <w:p w14:paraId="24B7CA30" w14:textId="2817586B"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w:t>
            </w:r>
            <w:r w:rsidR="00150B73">
              <w:rPr>
                <w:rFonts w:eastAsia="Times New Roman" w:cs="Arial"/>
                <w:color w:val="000000"/>
                <w:sz w:val="17"/>
                <w:szCs w:val="17"/>
                <w:lang w:val="en-AU"/>
              </w:rPr>
              <w:t>,</w:t>
            </w:r>
            <w:r>
              <w:rPr>
                <w:rFonts w:eastAsia="Times New Roman" w:cs="Arial"/>
                <w:color w:val="000000"/>
                <w:sz w:val="17"/>
                <w:szCs w:val="17"/>
                <w:lang w:val="en-AU"/>
              </w:rPr>
              <w:t>036.42</w:t>
            </w:r>
          </w:p>
        </w:tc>
        <w:tc>
          <w:tcPr>
            <w:tcW w:w="672" w:type="pct"/>
            <w:tcBorders>
              <w:top w:val="single" w:sz="8" w:space="0" w:color="D9D9D9"/>
              <w:left w:val="single" w:sz="8" w:space="0" w:color="D9D9D9"/>
              <w:bottom w:val="single" w:sz="8" w:space="0" w:color="D9D9D9"/>
              <w:right w:val="single" w:sz="8" w:space="0" w:color="D9D9D9"/>
            </w:tcBorders>
          </w:tcPr>
          <w:p w14:paraId="39D465DC" w14:textId="0D154D3D"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0.89</w:t>
            </w:r>
          </w:p>
        </w:tc>
        <w:tc>
          <w:tcPr>
            <w:tcW w:w="795" w:type="pct"/>
            <w:tcBorders>
              <w:top w:val="single" w:sz="8" w:space="0" w:color="D9D9D9"/>
              <w:left w:val="single" w:sz="8" w:space="0" w:color="D9D9D9"/>
              <w:bottom w:val="single" w:sz="8" w:space="0" w:color="D9D9D9"/>
              <w:right w:val="single" w:sz="8" w:space="0" w:color="D9D9D9"/>
            </w:tcBorders>
            <w:vAlign w:val="center"/>
          </w:tcPr>
          <w:p w14:paraId="24547B45" w14:textId="6515039B"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1,130.88</w:t>
            </w:r>
          </w:p>
        </w:tc>
        <w:tc>
          <w:tcPr>
            <w:tcW w:w="625" w:type="pct"/>
            <w:tcBorders>
              <w:top w:val="single" w:sz="8" w:space="0" w:color="D9D9D9"/>
              <w:left w:val="single" w:sz="8" w:space="0" w:color="D9D9D9"/>
              <w:bottom w:val="single" w:sz="8" w:space="0" w:color="D9D9D9"/>
              <w:right w:val="single" w:sz="8" w:space="0" w:color="D9D9D9"/>
            </w:tcBorders>
          </w:tcPr>
          <w:p w14:paraId="5809D171" w14:textId="3F78A9CA"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0.97</w:t>
            </w:r>
          </w:p>
        </w:tc>
      </w:tr>
      <w:tr w:rsidR="00966676" w:rsidRPr="00421A62" w14:paraId="34254134" w14:textId="77777777" w:rsidTr="00A87396">
        <w:tc>
          <w:tcPr>
            <w:tcW w:w="600" w:type="pct"/>
            <w:tcBorders>
              <w:top w:val="single" w:sz="8" w:space="0" w:color="D9D9D9"/>
              <w:left w:val="single" w:sz="8" w:space="0" w:color="D9D9D9"/>
              <w:bottom w:val="single" w:sz="8" w:space="0" w:color="D9D9D9"/>
              <w:right w:val="single" w:sz="8" w:space="0" w:color="D9D9D9"/>
            </w:tcBorders>
          </w:tcPr>
          <w:p w14:paraId="32E5CD22"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12</w:t>
            </w:r>
          </w:p>
        </w:tc>
        <w:tc>
          <w:tcPr>
            <w:tcW w:w="961" w:type="pct"/>
            <w:tcBorders>
              <w:top w:val="single" w:sz="8" w:space="0" w:color="D9D9D9"/>
              <w:left w:val="single" w:sz="8" w:space="0" w:color="D9D9D9"/>
              <w:bottom w:val="single" w:sz="8" w:space="0" w:color="D9D9D9"/>
              <w:right w:val="single" w:sz="8" w:space="0" w:color="D9D9D9"/>
            </w:tcBorders>
          </w:tcPr>
          <w:p w14:paraId="34FB6400"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Dual-earner couple</w:t>
            </w:r>
          </w:p>
        </w:tc>
        <w:tc>
          <w:tcPr>
            <w:tcW w:w="598" w:type="pct"/>
            <w:tcBorders>
              <w:top w:val="single" w:sz="8" w:space="0" w:color="D9D9D9"/>
              <w:left w:val="single" w:sz="8" w:space="0" w:color="D9D9D9"/>
              <w:bottom w:val="single" w:sz="8" w:space="0" w:color="D9D9D9"/>
              <w:right w:val="single" w:sz="8" w:space="0" w:color="D9D9D9"/>
            </w:tcBorders>
          </w:tcPr>
          <w:p w14:paraId="2B3814E4" w14:textId="27A85E4C"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832.75</w:t>
            </w:r>
          </w:p>
        </w:tc>
        <w:tc>
          <w:tcPr>
            <w:tcW w:w="749" w:type="pct"/>
            <w:tcBorders>
              <w:top w:val="single" w:sz="8" w:space="0" w:color="D9D9D9"/>
              <w:left w:val="single" w:sz="8" w:space="0" w:color="D9D9D9"/>
              <w:bottom w:val="single" w:sz="8" w:space="0" w:color="D9D9D9"/>
              <w:right w:val="single" w:sz="8" w:space="0" w:color="D9D9D9"/>
            </w:tcBorders>
          </w:tcPr>
          <w:p w14:paraId="21862DD8" w14:textId="22A7C5F5"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w:t>
            </w:r>
            <w:r w:rsidR="00150B73">
              <w:rPr>
                <w:rFonts w:eastAsia="Times New Roman" w:cs="Arial"/>
                <w:color w:val="000000"/>
                <w:sz w:val="17"/>
                <w:szCs w:val="17"/>
                <w:lang w:val="en-AU"/>
              </w:rPr>
              <w:t>,</w:t>
            </w:r>
            <w:r>
              <w:rPr>
                <w:rFonts w:eastAsia="Times New Roman" w:cs="Arial"/>
                <w:color w:val="000000"/>
                <w:sz w:val="17"/>
                <w:szCs w:val="17"/>
                <w:lang w:val="en-AU"/>
              </w:rPr>
              <w:t>033.40</w:t>
            </w:r>
          </w:p>
        </w:tc>
        <w:tc>
          <w:tcPr>
            <w:tcW w:w="672" w:type="pct"/>
            <w:tcBorders>
              <w:top w:val="single" w:sz="8" w:space="0" w:color="D9D9D9"/>
              <w:left w:val="single" w:sz="8" w:space="0" w:color="D9D9D9"/>
              <w:bottom w:val="single" w:sz="8" w:space="0" w:color="D9D9D9"/>
              <w:right w:val="single" w:sz="8" w:space="0" w:color="D9D9D9"/>
            </w:tcBorders>
          </w:tcPr>
          <w:p w14:paraId="33998818" w14:textId="14075D13"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1.24</w:t>
            </w:r>
          </w:p>
        </w:tc>
        <w:tc>
          <w:tcPr>
            <w:tcW w:w="795" w:type="pct"/>
            <w:tcBorders>
              <w:top w:val="single" w:sz="8" w:space="0" w:color="D9D9D9"/>
              <w:left w:val="single" w:sz="8" w:space="0" w:color="D9D9D9"/>
              <w:bottom w:val="single" w:sz="8" w:space="0" w:color="D9D9D9"/>
              <w:right w:val="single" w:sz="8" w:space="0" w:color="D9D9D9"/>
            </w:tcBorders>
            <w:vAlign w:val="center"/>
          </w:tcPr>
          <w:p w14:paraId="2406C548" w14:textId="723839E8"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1,182.51</w:t>
            </w:r>
          </w:p>
        </w:tc>
        <w:tc>
          <w:tcPr>
            <w:tcW w:w="625" w:type="pct"/>
            <w:tcBorders>
              <w:top w:val="single" w:sz="8" w:space="0" w:color="D9D9D9"/>
              <w:left w:val="single" w:sz="8" w:space="0" w:color="D9D9D9"/>
              <w:bottom w:val="single" w:sz="8" w:space="0" w:color="D9D9D9"/>
              <w:right w:val="single" w:sz="8" w:space="0" w:color="D9D9D9"/>
            </w:tcBorders>
          </w:tcPr>
          <w:p w14:paraId="32CB165A" w14:textId="489046D5"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1.42</w:t>
            </w:r>
          </w:p>
        </w:tc>
      </w:tr>
      <w:tr w:rsidR="00966676" w:rsidRPr="00421A62" w14:paraId="331B9D7C" w14:textId="77777777" w:rsidTr="00A87396">
        <w:tc>
          <w:tcPr>
            <w:tcW w:w="600" w:type="pct"/>
            <w:tcBorders>
              <w:top w:val="single" w:sz="8" w:space="0" w:color="D9D9D9"/>
              <w:left w:val="single" w:sz="8" w:space="0" w:color="D9D9D9"/>
              <w:bottom w:val="single" w:sz="8" w:space="0" w:color="D9D9D9"/>
              <w:right w:val="single" w:sz="8" w:space="0" w:color="D9D9D9"/>
            </w:tcBorders>
          </w:tcPr>
          <w:p w14:paraId="14433ECF"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13</w:t>
            </w:r>
          </w:p>
        </w:tc>
        <w:tc>
          <w:tcPr>
            <w:tcW w:w="961" w:type="pct"/>
            <w:tcBorders>
              <w:top w:val="single" w:sz="8" w:space="0" w:color="D9D9D9"/>
              <w:left w:val="single" w:sz="8" w:space="0" w:color="D9D9D9"/>
              <w:bottom w:val="single" w:sz="8" w:space="0" w:color="D9D9D9"/>
              <w:right w:val="single" w:sz="8" w:space="0" w:color="D9D9D9"/>
            </w:tcBorders>
          </w:tcPr>
          <w:p w14:paraId="72CD59A5" w14:textId="77777777" w:rsidR="00966676" w:rsidRPr="00421A62" w:rsidRDefault="00966676" w:rsidP="00966676">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Dual-earner couple, 1 child</w:t>
            </w:r>
          </w:p>
        </w:tc>
        <w:tc>
          <w:tcPr>
            <w:tcW w:w="598" w:type="pct"/>
            <w:tcBorders>
              <w:top w:val="single" w:sz="8" w:space="0" w:color="D9D9D9"/>
              <w:left w:val="single" w:sz="8" w:space="0" w:color="D9D9D9"/>
              <w:bottom w:val="single" w:sz="8" w:space="0" w:color="D9D9D9"/>
              <w:right w:val="single" w:sz="8" w:space="0" w:color="D9D9D9"/>
            </w:tcBorders>
          </w:tcPr>
          <w:p w14:paraId="4AF515F6" w14:textId="4A5666B5"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999.30</w:t>
            </w:r>
          </w:p>
        </w:tc>
        <w:tc>
          <w:tcPr>
            <w:tcW w:w="749" w:type="pct"/>
            <w:tcBorders>
              <w:top w:val="single" w:sz="8" w:space="0" w:color="D9D9D9"/>
              <w:left w:val="single" w:sz="8" w:space="0" w:color="D9D9D9"/>
              <w:bottom w:val="single" w:sz="8" w:space="0" w:color="D9D9D9"/>
              <w:right w:val="single" w:sz="8" w:space="0" w:color="D9D9D9"/>
            </w:tcBorders>
          </w:tcPr>
          <w:p w14:paraId="3758647F" w14:textId="19620D9D" w:rsidR="00966676" w:rsidRPr="00421A62" w:rsidRDefault="00966676" w:rsidP="00966676">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w:t>
            </w:r>
            <w:r w:rsidR="00150B73">
              <w:rPr>
                <w:rFonts w:eastAsia="Times New Roman" w:cs="Arial"/>
                <w:color w:val="000000"/>
                <w:sz w:val="17"/>
                <w:szCs w:val="17"/>
                <w:lang w:val="en-AU"/>
              </w:rPr>
              <w:t>,</w:t>
            </w:r>
            <w:r>
              <w:rPr>
                <w:rFonts w:eastAsia="Times New Roman" w:cs="Arial"/>
                <w:color w:val="000000"/>
                <w:sz w:val="17"/>
                <w:szCs w:val="17"/>
                <w:lang w:val="en-AU"/>
              </w:rPr>
              <w:t>220.26</w:t>
            </w:r>
          </w:p>
        </w:tc>
        <w:tc>
          <w:tcPr>
            <w:tcW w:w="672" w:type="pct"/>
            <w:tcBorders>
              <w:top w:val="single" w:sz="8" w:space="0" w:color="D9D9D9"/>
              <w:left w:val="single" w:sz="8" w:space="0" w:color="D9D9D9"/>
              <w:bottom w:val="single" w:sz="8" w:space="0" w:color="D9D9D9"/>
              <w:right w:val="single" w:sz="8" w:space="0" w:color="D9D9D9"/>
            </w:tcBorders>
          </w:tcPr>
          <w:p w14:paraId="551425B7" w14:textId="0A7A84D5"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1.22</w:t>
            </w:r>
          </w:p>
        </w:tc>
        <w:tc>
          <w:tcPr>
            <w:tcW w:w="795" w:type="pct"/>
            <w:tcBorders>
              <w:top w:val="single" w:sz="8" w:space="0" w:color="D9D9D9"/>
              <w:left w:val="single" w:sz="8" w:space="0" w:color="D9D9D9"/>
              <w:bottom w:val="single" w:sz="8" w:space="0" w:color="D9D9D9"/>
              <w:right w:val="single" w:sz="8" w:space="0" w:color="D9D9D9"/>
            </w:tcBorders>
            <w:vAlign w:val="center"/>
          </w:tcPr>
          <w:p w14:paraId="00F7C58F" w14:textId="721268FF" w:rsidR="00966676" w:rsidRPr="00421A62" w:rsidRDefault="00966676" w:rsidP="00966676">
            <w:pPr>
              <w:tabs>
                <w:tab w:val="decimal" w:pos="675"/>
              </w:tabs>
              <w:spacing w:before="100" w:after="100"/>
              <w:textAlignment w:val="baseline"/>
              <w:rPr>
                <w:rFonts w:eastAsia="Times New Roman" w:cs="Arial"/>
                <w:color w:val="000000"/>
                <w:sz w:val="17"/>
                <w:szCs w:val="17"/>
                <w:lang w:val="en-AU"/>
              </w:rPr>
            </w:pPr>
            <w:r>
              <w:rPr>
                <w:rFonts w:cs="Arial"/>
                <w:color w:val="000000"/>
                <w:sz w:val="17"/>
                <w:szCs w:val="17"/>
              </w:rPr>
              <w:t>1,319.08</w:t>
            </w:r>
          </w:p>
        </w:tc>
        <w:tc>
          <w:tcPr>
            <w:tcW w:w="625" w:type="pct"/>
            <w:tcBorders>
              <w:top w:val="single" w:sz="8" w:space="0" w:color="D9D9D9"/>
              <w:left w:val="single" w:sz="8" w:space="0" w:color="D9D9D9"/>
              <w:bottom w:val="single" w:sz="8" w:space="0" w:color="D9D9D9"/>
              <w:right w:val="single" w:sz="8" w:space="0" w:color="D9D9D9"/>
            </w:tcBorders>
          </w:tcPr>
          <w:p w14:paraId="3C62BDE4" w14:textId="7A0671FF" w:rsidR="00966676" w:rsidRPr="00421A62" w:rsidRDefault="00966676" w:rsidP="00966676">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1.32</w:t>
            </w:r>
          </w:p>
        </w:tc>
      </w:tr>
      <w:tr w:rsidR="00441C13" w:rsidRPr="00421A62" w14:paraId="3EB123C3" w14:textId="77777777" w:rsidTr="00642FD9">
        <w:tc>
          <w:tcPr>
            <w:tcW w:w="600" w:type="pct"/>
            <w:tcBorders>
              <w:top w:val="single" w:sz="8" w:space="0" w:color="D9D9D9"/>
              <w:left w:val="single" w:sz="8" w:space="0" w:color="D9D9D9"/>
              <w:bottom w:val="single" w:sz="8" w:space="0" w:color="D9D9D9"/>
              <w:right w:val="single" w:sz="8" w:space="0" w:color="D9D9D9"/>
            </w:tcBorders>
          </w:tcPr>
          <w:p w14:paraId="45757231" w14:textId="77777777" w:rsidR="00441C13" w:rsidRPr="00421A62" w:rsidRDefault="00441C13" w:rsidP="00642FD9">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14</w:t>
            </w:r>
          </w:p>
        </w:tc>
        <w:tc>
          <w:tcPr>
            <w:tcW w:w="961" w:type="pct"/>
            <w:tcBorders>
              <w:top w:val="single" w:sz="8" w:space="0" w:color="D9D9D9"/>
              <w:left w:val="single" w:sz="8" w:space="0" w:color="D9D9D9"/>
              <w:bottom w:val="single" w:sz="8" w:space="0" w:color="D9D9D9"/>
              <w:right w:val="single" w:sz="8" w:space="0" w:color="D9D9D9"/>
            </w:tcBorders>
          </w:tcPr>
          <w:p w14:paraId="45AA9AF7" w14:textId="77777777" w:rsidR="00441C13" w:rsidRPr="00421A62" w:rsidRDefault="00441C13" w:rsidP="00642FD9">
            <w:pPr>
              <w:spacing w:before="100" w:after="100"/>
              <w:textAlignment w:val="baseline"/>
              <w:rPr>
                <w:rFonts w:eastAsia="Times New Roman" w:cs="Arial"/>
                <w:color w:val="000000"/>
                <w:sz w:val="17"/>
                <w:szCs w:val="17"/>
                <w:lang w:val="en-AU"/>
              </w:rPr>
            </w:pPr>
            <w:r w:rsidRPr="00421A62">
              <w:rPr>
                <w:rFonts w:eastAsia="Times New Roman" w:cs="Arial"/>
                <w:color w:val="000000"/>
                <w:sz w:val="17"/>
                <w:szCs w:val="17"/>
                <w:lang w:val="en-AU"/>
              </w:rPr>
              <w:t>Dual-earner couple, 2 children</w:t>
            </w:r>
          </w:p>
        </w:tc>
        <w:tc>
          <w:tcPr>
            <w:tcW w:w="598" w:type="pct"/>
            <w:tcBorders>
              <w:top w:val="single" w:sz="8" w:space="0" w:color="D9D9D9"/>
              <w:left w:val="single" w:sz="8" w:space="0" w:color="D9D9D9"/>
              <w:bottom w:val="single" w:sz="8" w:space="0" w:color="D9D9D9"/>
              <w:right w:val="single" w:sz="8" w:space="0" w:color="D9D9D9"/>
            </w:tcBorders>
          </w:tcPr>
          <w:p w14:paraId="3D07D56A" w14:textId="095AD82E" w:rsidR="00441C13" w:rsidRPr="00421A62" w:rsidRDefault="00441C13" w:rsidP="00642FD9">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w:t>
            </w:r>
            <w:r w:rsidR="00966676">
              <w:rPr>
                <w:rFonts w:eastAsia="Times New Roman" w:cs="Arial"/>
                <w:color w:val="000000"/>
                <w:sz w:val="17"/>
                <w:szCs w:val="17"/>
                <w:lang w:val="en-AU"/>
              </w:rPr>
              <w:t>,</w:t>
            </w:r>
            <w:r>
              <w:rPr>
                <w:rFonts w:eastAsia="Times New Roman" w:cs="Arial"/>
                <w:color w:val="000000"/>
                <w:sz w:val="17"/>
                <w:szCs w:val="17"/>
                <w:lang w:val="en-AU"/>
              </w:rPr>
              <w:t>165.86</w:t>
            </w:r>
          </w:p>
        </w:tc>
        <w:tc>
          <w:tcPr>
            <w:tcW w:w="749" w:type="pct"/>
            <w:tcBorders>
              <w:top w:val="single" w:sz="8" w:space="0" w:color="D9D9D9"/>
              <w:left w:val="single" w:sz="8" w:space="0" w:color="D9D9D9"/>
              <w:bottom w:val="single" w:sz="8" w:space="0" w:color="D9D9D9"/>
              <w:right w:val="single" w:sz="8" w:space="0" w:color="D9D9D9"/>
            </w:tcBorders>
          </w:tcPr>
          <w:p w14:paraId="70931B9F" w14:textId="61B1100F" w:rsidR="00441C13" w:rsidRPr="00421A62" w:rsidRDefault="00441C13" w:rsidP="00642FD9">
            <w:pPr>
              <w:tabs>
                <w:tab w:val="decimal" w:pos="691"/>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w:t>
            </w:r>
            <w:r w:rsidR="00150B73">
              <w:rPr>
                <w:rFonts w:eastAsia="Times New Roman" w:cs="Arial"/>
                <w:color w:val="000000"/>
                <w:sz w:val="17"/>
                <w:szCs w:val="17"/>
                <w:lang w:val="en-AU"/>
              </w:rPr>
              <w:t>,</w:t>
            </w:r>
            <w:r>
              <w:rPr>
                <w:rFonts w:eastAsia="Times New Roman" w:cs="Arial"/>
                <w:color w:val="000000"/>
                <w:sz w:val="17"/>
                <w:szCs w:val="17"/>
                <w:lang w:val="en-AU"/>
              </w:rPr>
              <w:t>328.06</w:t>
            </w:r>
          </w:p>
        </w:tc>
        <w:tc>
          <w:tcPr>
            <w:tcW w:w="672" w:type="pct"/>
            <w:tcBorders>
              <w:top w:val="single" w:sz="8" w:space="0" w:color="D9D9D9"/>
              <w:left w:val="single" w:sz="8" w:space="0" w:color="D9D9D9"/>
              <w:bottom w:val="single" w:sz="8" w:space="0" w:color="D9D9D9"/>
              <w:right w:val="single" w:sz="8" w:space="0" w:color="D9D9D9"/>
            </w:tcBorders>
          </w:tcPr>
          <w:p w14:paraId="569793FA" w14:textId="6057EC29" w:rsidR="00441C13" w:rsidRPr="00421A62" w:rsidRDefault="00441C13" w:rsidP="00642FD9">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1.14</w:t>
            </w:r>
          </w:p>
        </w:tc>
        <w:tc>
          <w:tcPr>
            <w:tcW w:w="795" w:type="pct"/>
            <w:tcBorders>
              <w:top w:val="single" w:sz="8" w:space="0" w:color="D9D9D9"/>
              <w:left w:val="single" w:sz="8" w:space="0" w:color="D9D9D9"/>
              <w:bottom w:val="single" w:sz="8" w:space="0" w:color="D9D9D9"/>
              <w:right w:val="single" w:sz="8" w:space="0" w:color="D9D9D9"/>
            </w:tcBorders>
          </w:tcPr>
          <w:p w14:paraId="1014C958" w14:textId="2CB21EC0" w:rsidR="00441C13" w:rsidRPr="00421A62" w:rsidRDefault="00966676" w:rsidP="00642FD9">
            <w:pPr>
              <w:tabs>
                <w:tab w:val="decimal" w:pos="675"/>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1,422.35</w:t>
            </w:r>
          </w:p>
        </w:tc>
        <w:tc>
          <w:tcPr>
            <w:tcW w:w="625" w:type="pct"/>
            <w:tcBorders>
              <w:top w:val="single" w:sz="8" w:space="0" w:color="D9D9D9"/>
              <w:left w:val="single" w:sz="8" w:space="0" w:color="D9D9D9"/>
              <w:bottom w:val="single" w:sz="8" w:space="0" w:color="D9D9D9"/>
              <w:right w:val="single" w:sz="8" w:space="0" w:color="D9D9D9"/>
            </w:tcBorders>
          </w:tcPr>
          <w:p w14:paraId="087D018D" w14:textId="5C47606E" w:rsidR="00441C13" w:rsidRPr="00421A62" w:rsidRDefault="00441C13" w:rsidP="00642FD9">
            <w:pPr>
              <w:tabs>
                <w:tab w:val="decimal" w:pos="578"/>
              </w:tabs>
              <w:spacing w:before="100" w:after="100"/>
              <w:textAlignment w:val="baseline"/>
              <w:rPr>
                <w:rFonts w:eastAsia="Times New Roman" w:cs="Arial"/>
                <w:color w:val="000000"/>
                <w:sz w:val="17"/>
                <w:szCs w:val="17"/>
                <w:lang w:val="en-AU"/>
              </w:rPr>
            </w:pPr>
            <w:r>
              <w:rPr>
                <w:rFonts w:eastAsia="Times New Roman" w:cs="Arial"/>
                <w:color w:val="000000"/>
                <w:sz w:val="17"/>
                <w:szCs w:val="17"/>
                <w:lang w:val="en-AU"/>
              </w:rPr>
              <w:t>1.22</w:t>
            </w:r>
          </w:p>
        </w:tc>
      </w:tr>
    </w:tbl>
    <w:p w14:paraId="2CB5C9C1" w14:textId="77777777" w:rsidR="00441C13" w:rsidRPr="00421A62" w:rsidRDefault="00441C13" w:rsidP="00441C13">
      <w:pPr>
        <w:pStyle w:val="BodyText"/>
        <w:spacing w:after="0"/>
        <w:rPr>
          <w:szCs w:val="21"/>
          <w:lang w:val="en-AU"/>
        </w:rPr>
      </w:pPr>
    </w:p>
    <w:p w14:paraId="5509C9C1" w14:textId="77777777" w:rsidR="00441C13" w:rsidRPr="00421A62" w:rsidRDefault="00441C13" w:rsidP="00441C13">
      <w:pPr>
        <w:pStyle w:val="BodyText"/>
        <w:keepNext/>
        <w:keepLines/>
        <w:rPr>
          <w:szCs w:val="21"/>
          <w:lang w:val="en-AU"/>
        </w:rPr>
      </w:pPr>
      <w:r w:rsidRPr="00421A62">
        <w:rPr>
          <w:szCs w:val="21"/>
          <w:lang w:val="en-AU"/>
        </w:rPr>
        <w:lastRenderedPageBreak/>
        <w:t xml:space="preserve">The disposable incomes of NMW-dependent households are taken from Table 8.4 of the Statistical Report. The report does not include the disposable incomes of C10-dependent households. The estimates of the C10-dependent households in this table are the product of the </w:t>
      </w:r>
      <w:r>
        <w:rPr>
          <w:szCs w:val="21"/>
          <w:lang w:val="en-AU"/>
        </w:rPr>
        <w:t>Commission</w:t>
      </w:r>
      <w:r w:rsidRPr="00421A62">
        <w:rPr>
          <w:szCs w:val="21"/>
          <w:lang w:val="en-AU"/>
        </w:rPr>
        <w:t>'s poverty lines and the ratios for the C10-dependent households.</w:t>
      </w:r>
    </w:p>
    <w:p w14:paraId="738DC661" w14:textId="77777777" w:rsidR="00441C13" w:rsidRPr="00421A62" w:rsidRDefault="00441C13" w:rsidP="00441C13">
      <w:pPr>
        <w:pStyle w:val="BodyText"/>
        <w:rPr>
          <w:szCs w:val="21"/>
          <w:lang w:val="en-AU"/>
        </w:rPr>
      </w:pPr>
      <w:r w:rsidRPr="00421A62">
        <w:rPr>
          <w:szCs w:val="21"/>
          <w:lang w:val="en-AU"/>
        </w:rPr>
        <w:t xml:space="preserve">The </w:t>
      </w:r>
      <w:r>
        <w:rPr>
          <w:szCs w:val="21"/>
          <w:lang w:val="en-AU"/>
        </w:rPr>
        <w:t>Commission</w:t>
      </w:r>
      <w:r w:rsidRPr="00421A62">
        <w:rPr>
          <w:szCs w:val="21"/>
          <w:lang w:val="en-AU"/>
        </w:rPr>
        <w:t>'s notes to Table 8.6 are:</w:t>
      </w:r>
    </w:p>
    <w:p w14:paraId="21006C34" w14:textId="77777777" w:rsidR="00441C13" w:rsidRPr="00421A62" w:rsidRDefault="00441C13" w:rsidP="00441C13">
      <w:pPr>
        <w:pStyle w:val="BodyText"/>
        <w:ind w:left="720"/>
        <w:rPr>
          <w:szCs w:val="21"/>
          <w:lang w:val="en-AU"/>
        </w:rPr>
      </w:pPr>
      <w:r w:rsidRPr="00421A62">
        <w:rPr>
          <w:szCs w:val="21"/>
          <w:lang w:val="en-AU"/>
        </w:rPr>
        <w:t xml:space="preserve">Note: Poverty lines are based on estimates of median equivalised household disposable income in 2013–14 for September 2014 and 2017–18 for September 2018 and September 2019, and adjusted for movements in household disposable income per head as calculated by the Melbourne Institute of Applied Economic and Social Research, and adjusted for household composition using the modified OECD equivalence scale. The C14, C10 and C4 are minimum award rates set under the Manufacturing and Associated Industries and Occupations Award 2010. AWOTE data are expressed in original terms. </w:t>
      </w:r>
    </w:p>
    <w:p w14:paraId="2843CF33" w14:textId="77777777" w:rsidR="00441C13" w:rsidRPr="00421A62" w:rsidRDefault="00441C13" w:rsidP="00441C13">
      <w:pPr>
        <w:pStyle w:val="BodyText"/>
        <w:ind w:left="720"/>
        <w:rPr>
          <w:szCs w:val="21"/>
          <w:lang w:val="en-AU"/>
        </w:rPr>
      </w:pPr>
      <w:r w:rsidRPr="00421A62">
        <w:rPr>
          <w:szCs w:val="21"/>
          <w:lang w:val="en-AU"/>
        </w:rPr>
        <w:t xml:space="preserve">Assumptions: Tax-transfer parameters as at September 2014, September 2018 and September 2019. Wage rates for 2014: C14 = $640.90 pw, C10 = $746.20 pw, C4 = $896.40 and AWOTE of full-time adult employees = $1477.00 pw. Wage rates for 2018: C14 = $719.20 pw, C10 = $837.40 pw, C4 = $1005.90 pw, AWOTE of full-time adult employees = $1605.50. Wage rates for 2019: C14 = $740.80 pw, C10 = $862.50 pw, C4 = $1036.10 pw and AWOTE of full-time adult employees = $1658.40. Other assumptions as per Table 8.4. </w:t>
      </w:r>
    </w:p>
    <w:p w14:paraId="4C7095DE" w14:textId="77777777" w:rsidR="00441C13" w:rsidRPr="00421A62" w:rsidRDefault="00441C13" w:rsidP="00441C13">
      <w:pPr>
        <w:pStyle w:val="BodyText"/>
        <w:ind w:left="720"/>
        <w:rPr>
          <w:szCs w:val="21"/>
          <w:lang w:val="en-AU"/>
        </w:rPr>
      </w:pPr>
      <w:r w:rsidRPr="00421A62">
        <w:rPr>
          <w:szCs w:val="21"/>
          <w:lang w:val="en-AU"/>
        </w:rPr>
        <w:t>Source: ABS, Average Weekly Earnings, Australia, Nov 2019, Catalogue No. 6302.0; ABS, Household Income and Income Distribution, Australia, 2013–14, Catalogue No. 6623.0; ABS, Household Income and Wealth, Australia, 2017–18, Catalogue No. 6523.0; Fair Work Commission modelling; Manufacturing and Associated Industries and Occupations Award 2010; Melbourne Institute of Applied Economic and Social Research, Poverty Lines: Australia, September quarter 2019.</w:t>
      </w:r>
    </w:p>
    <w:p w14:paraId="16324449" w14:textId="77777777" w:rsidR="00161A01" w:rsidRDefault="00161A01"/>
    <w:sectPr w:rsidR="00161A01" w:rsidSect="004134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13"/>
    <w:rsid w:val="00150B73"/>
    <w:rsid w:val="00161A01"/>
    <w:rsid w:val="003B763A"/>
    <w:rsid w:val="004134E9"/>
    <w:rsid w:val="00441C13"/>
    <w:rsid w:val="0046774B"/>
    <w:rsid w:val="006458ED"/>
    <w:rsid w:val="009176F5"/>
    <w:rsid w:val="00966676"/>
    <w:rsid w:val="00B75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F8CCF6A"/>
  <w15:chartTrackingRefBased/>
  <w15:docId w15:val="{1DDA5454-9301-2046-913D-37284041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1C13"/>
    <w:rPr>
      <w:rFonts w:ascii="Arial" w:eastAsia="PMingLiU" w:hAnsi="Arial" w:cs="Times New Roman"/>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1C13"/>
    <w:pPr>
      <w:widowControl w:val="0"/>
      <w:autoSpaceDE w:val="0"/>
      <w:autoSpaceDN w:val="0"/>
      <w:spacing w:after="240"/>
    </w:pPr>
    <w:rPr>
      <w:rFonts w:eastAsia="Times New Roman"/>
      <w:szCs w:val="24"/>
    </w:rPr>
  </w:style>
  <w:style w:type="character" w:customStyle="1" w:styleId="BodyTextChar">
    <w:name w:val="Body Text Char"/>
    <w:basedOn w:val="DefaultParagraphFont"/>
    <w:link w:val="BodyText"/>
    <w:uiPriority w:val="1"/>
    <w:rsid w:val="00441C13"/>
    <w:rPr>
      <w:rFonts w:ascii="Arial" w:eastAsia="Times New Roman" w:hAnsi="Arial" w:cs="Times New Roman"/>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 A c t i v e ! 1 4 2 8 7 5 5 4 . 1 < / d o c u m e n t i d >  
     < s e n d e r i d > A L M < / s e n d e r i d >  
     < s e n d e r e m a i l > A N N A B E L . M O R T O N @ C B P . C O M . A U < / s e n d e r e m a i l >  
     < l a s t m o d i f i e d > 2 0 2 0 - 0 6 - 0 9 T 1 5 : 1 0 : 0 0 . 0 0 0 0 0 0 0 + 1 0 : 0 0 < / l a s t m o d i f i e d >  
     < d a t a b a s e > A c t i v e < / d a t a b a s e >  
 < / p r o p e r t i e s > 
</file>

<file path=docProps/app.xml><?xml version="1.0" encoding="utf-8"?>
<Properties xmlns="http://schemas.openxmlformats.org/officeDocument/2006/extended-properties" xmlns:vt="http://schemas.openxmlformats.org/officeDocument/2006/docPropsVTypes">
  <Template>Normal.dotm</Template>
  <TotalTime>10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Morton</dc:creator>
  <cp:keywords/>
  <dc:description/>
  <cp:lastModifiedBy>Annabel Morton</cp:lastModifiedBy>
  <cp:revision>2</cp:revision>
  <dcterms:created xsi:type="dcterms:W3CDTF">2020-06-09T04:45:00Z</dcterms:created>
  <dcterms:modified xsi:type="dcterms:W3CDTF">2020-06-09T05:10:00Z</dcterms:modified>
</cp:coreProperties>
</file>