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0B968" w14:textId="17FB22A2" w:rsidR="00EE1AB6" w:rsidRPr="00DD2BB4" w:rsidRDefault="00EE1AB6" w:rsidP="00F85D91">
      <w:pPr>
        <w:pStyle w:val="Heading1"/>
      </w:pPr>
      <w:r w:rsidRPr="00DD2BB4">
        <w:t xml:space="preserve">Report to the Minister </w:t>
      </w:r>
      <w:r w:rsidR="008F7C21">
        <w:t>Oct</w:t>
      </w:r>
      <w:r w:rsidR="00F34387" w:rsidRPr="00F34387">
        <w:t>-</w:t>
      </w:r>
      <w:r w:rsidR="008F7C21">
        <w:t>Dec</w:t>
      </w:r>
      <w:r w:rsidR="001B2DA8" w:rsidRPr="00DD2BB4">
        <w:t xml:space="preserve"> </w:t>
      </w:r>
      <w:r w:rsidR="00F34387">
        <w:t>20</w:t>
      </w:r>
      <w:r w:rsidR="005A6365">
        <w:t>2</w:t>
      </w:r>
      <w:r w:rsidR="00E30220">
        <w:t>1</w:t>
      </w:r>
    </w:p>
    <w:p w14:paraId="0305A23A" w14:textId="2DE9A447" w:rsidR="00942937" w:rsidRDefault="008F7C21" w:rsidP="00F85D91">
      <w:pPr>
        <w:pStyle w:val="Heading2"/>
      </w:pPr>
      <w:r>
        <w:t>2nd</w:t>
      </w:r>
      <w:r w:rsidR="002D05F3">
        <w:t xml:space="preserve"> </w:t>
      </w:r>
      <w:r w:rsidR="00942937">
        <w:t>quarter 20</w:t>
      </w:r>
      <w:r w:rsidR="005A6365">
        <w:t>2</w:t>
      </w:r>
      <w:r w:rsidR="007307BC">
        <w:t>1</w:t>
      </w:r>
      <w:r w:rsidR="001A6EA6">
        <w:t>-</w:t>
      </w:r>
      <w:r w:rsidR="003F1516">
        <w:t>2</w:t>
      </w:r>
      <w:r w:rsidR="007307BC">
        <w:t>2</w:t>
      </w:r>
    </w:p>
    <w:p w14:paraId="0A2D3D93" w14:textId="4A1CDEC1" w:rsidR="00EE1AB6" w:rsidRPr="00AA0EA8" w:rsidRDefault="00EE1AB6" w:rsidP="00EE1AB6">
      <w:pPr>
        <w:autoSpaceDE w:val="0"/>
        <w:autoSpaceDN w:val="0"/>
        <w:adjustRightInd w:val="0"/>
        <w:spacing w:before="100"/>
        <w:ind w:right="-2"/>
        <w:rPr>
          <w:rFonts w:cs="Arial"/>
        </w:rPr>
      </w:pPr>
      <w:r w:rsidRPr="00AA0EA8">
        <w:rPr>
          <w:rFonts w:cs="Arial"/>
        </w:rPr>
        <w:t xml:space="preserve">The President of </w:t>
      </w:r>
      <w:r>
        <w:rPr>
          <w:rFonts w:cs="Arial"/>
        </w:rPr>
        <w:t xml:space="preserve">the </w:t>
      </w:r>
      <w:r w:rsidRPr="00AA0EA8">
        <w:rPr>
          <w:rFonts w:cs="Arial"/>
        </w:rPr>
        <w:t xml:space="preserve">Fair Work </w:t>
      </w:r>
      <w:r>
        <w:rPr>
          <w:rFonts w:cs="Arial"/>
        </w:rPr>
        <w:t>Commission</w:t>
      </w:r>
      <w:r w:rsidRPr="00AA0EA8">
        <w:rPr>
          <w:rFonts w:cs="Arial"/>
        </w:rPr>
        <w:t xml:space="preserve"> is required under s.654 of the </w:t>
      </w:r>
      <w:hyperlink r:id="rId11" w:history="1">
        <w:r w:rsidRPr="00AA0EA8">
          <w:rPr>
            <w:rStyle w:val="Hyperlink"/>
            <w:rFonts w:cs="Arial"/>
          </w:rPr>
          <w:t>Fair Work Act 2009</w:t>
        </w:r>
      </w:hyperlink>
      <w:r w:rsidRPr="00AA0EA8">
        <w:rPr>
          <w:rFonts w:cs="Arial"/>
        </w:rPr>
        <w:t xml:space="preserve"> to provide certain information to the Minister</w:t>
      </w:r>
      <w:r>
        <w:rPr>
          <w:rFonts w:cs="Arial"/>
        </w:rPr>
        <w:t xml:space="preserve"> for Employment</w:t>
      </w:r>
      <w:r w:rsidRPr="00AA0EA8">
        <w:rPr>
          <w:rFonts w:cs="Arial"/>
        </w:rPr>
        <w:t xml:space="preserve">. </w:t>
      </w:r>
    </w:p>
    <w:p w14:paraId="049FF438" w14:textId="6BCC78BC" w:rsidR="00FB544A" w:rsidRDefault="00EE1AB6" w:rsidP="00EE1AB6">
      <w:pPr>
        <w:ind w:right="-2"/>
        <w:rPr>
          <w:rFonts w:cs="Arial"/>
        </w:rPr>
      </w:pPr>
      <w:r w:rsidRPr="00AA0EA8">
        <w:rPr>
          <w:rFonts w:cs="Arial"/>
        </w:rPr>
        <w:t>This quarterly report is provided to the Minister in accordance with requirements</w:t>
      </w:r>
      <w:r>
        <w:rPr>
          <w:rFonts w:cs="Arial"/>
        </w:rPr>
        <w:t xml:space="preserve"> </w:t>
      </w:r>
      <w:r w:rsidRPr="00AA0EA8">
        <w:rPr>
          <w:rFonts w:cs="Arial"/>
        </w:rPr>
        <w:t xml:space="preserve">detailed in Schedule 5.2 of the </w:t>
      </w:r>
      <w:hyperlink r:id="rId12" w:history="1">
        <w:r w:rsidRPr="00AA0EA8">
          <w:rPr>
            <w:rStyle w:val="Hyperlink"/>
            <w:rFonts w:cs="Arial"/>
          </w:rPr>
          <w:t>Fair Work Regulations 2009</w:t>
        </w:r>
      </w:hyperlink>
      <w:r w:rsidRPr="00AA0EA8">
        <w:rPr>
          <w:rFonts w:cs="Arial"/>
        </w:rPr>
        <w:t xml:space="preserve"> and posted to the </w:t>
      </w:r>
      <w:r>
        <w:rPr>
          <w:rFonts w:cs="Arial"/>
        </w:rPr>
        <w:t xml:space="preserve">Commission’s </w:t>
      </w:r>
      <w:r w:rsidRPr="00AA0EA8">
        <w:rPr>
          <w:rFonts w:cs="Arial"/>
        </w:rPr>
        <w:t>website</w:t>
      </w:r>
      <w:r w:rsidR="00441AAE">
        <w:rPr>
          <w:rFonts w:cs="Arial"/>
        </w:rPr>
        <w:t>.</w:t>
      </w:r>
    </w:p>
    <w:p w14:paraId="0768BB37" w14:textId="37B98D8C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It</w:t>
      </w:r>
      <w:r w:rsidRPr="00AA0EA8">
        <w:rPr>
          <w:rFonts w:cs="Arial"/>
        </w:rPr>
        <w:t xml:space="preserve"> covers the period </w:t>
      </w:r>
      <w:r w:rsidR="00942937" w:rsidRPr="00AA0EA8">
        <w:rPr>
          <w:rFonts w:cs="Arial"/>
        </w:rPr>
        <w:t>1</w:t>
      </w:r>
      <w:r w:rsidR="00441AAE">
        <w:rPr>
          <w:rFonts w:cs="Arial"/>
        </w:rPr>
        <w:t xml:space="preserve"> </w:t>
      </w:r>
      <w:r w:rsidR="008F7C21">
        <w:rPr>
          <w:rFonts w:cs="Arial"/>
        </w:rPr>
        <w:t>October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B35142">
        <w:rPr>
          <w:rFonts w:cs="Arial"/>
        </w:rPr>
        <w:t>1</w:t>
      </w:r>
      <w:r w:rsidR="00942937" w:rsidRPr="00AA0EA8">
        <w:rPr>
          <w:rFonts w:cs="Arial"/>
        </w:rPr>
        <w:t xml:space="preserve"> to </w:t>
      </w:r>
      <w:r w:rsidR="00862DB2">
        <w:rPr>
          <w:rFonts w:cs="Arial"/>
        </w:rPr>
        <w:t>3</w:t>
      </w:r>
      <w:r w:rsidR="008F7C21">
        <w:rPr>
          <w:rFonts w:cs="Arial"/>
        </w:rPr>
        <w:t>1</w:t>
      </w:r>
      <w:r w:rsidR="00942937" w:rsidRPr="00AA0EA8">
        <w:rPr>
          <w:rFonts w:cs="Arial"/>
        </w:rPr>
        <w:t xml:space="preserve"> </w:t>
      </w:r>
      <w:r w:rsidR="008F7C21">
        <w:rPr>
          <w:rFonts w:cs="Arial"/>
        </w:rPr>
        <w:t>Dec</w:t>
      </w:r>
      <w:r w:rsidR="00927C6D">
        <w:rPr>
          <w:rFonts w:cs="Arial"/>
        </w:rPr>
        <w:t>ember</w:t>
      </w:r>
      <w:r w:rsidR="00942937">
        <w:rPr>
          <w:rFonts w:cs="Arial"/>
        </w:rPr>
        <w:t xml:space="preserve"> 20</w:t>
      </w:r>
      <w:r w:rsidR="005A6365">
        <w:rPr>
          <w:rFonts w:cs="Arial"/>
        </w:rPr>
        <w:t>2</w:t>
      </w:r>
      <w:r w:rsidR="00B35142">
        <w:rPr>
          <w:rFonts w:cs="Arial"/>
        </w:rPr>
        <w:t>1</w:t>
      </w:r>
      <w:r w:rsidRPr="00AA0EA8">
        <w:rPr>
          <w:rFonts w:cs="Arial"/>
        </w:rPr>
        <w:t>.</w:t>
      </w:r>
    </w:p>
    <w:p w14:paraId="57E2DE03" w14:textId="77777777" w:rsidR="00EE1AB6" w:rsidRDefault="00EE1AB6" w:rsidP="00EE1AB6">
      <w:pPr>
        <w:ind w:right="-2"/>
        <w:rPr>
          <w:rFonts w:cs="Arial"/>
        </w:rPr>
      </w:pPr>
      <w:r>
        <w:rPr>
          <w:rFonts w:cs="Arial"/>
        </w:rPr>
        <w:t>Applications lodged and results recorded r</w:t>
      </w:r>
      <w:r w:rsidR="008B449F">
        <w:rPr>
          <w:rFonts w:cs="Arial"/>
        </w:rPr>
        <w:t xml:space="preserve">elate to the reporting period. </w:t>
      </w:r>
      <w:r>
        <w:rPr>
          <w:rFonts w:cs="Arial"/>
        </w:rPr>
        <w:t xml:space="preserve">Results are not confined to applications lodged in this period. </w:t>
      </w:r>
    </w:p>
    <w:tbl>
      <w:tblPr>
        <w:tblW w:w="9639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6204"/>
        <w:gridCol w:w="1734"/>
      </w:tblGrid>
      <w:tr w:rsidR="00942937" w:rsidRPr="007E4B3B" w14:paraId="507CC86C" w14:textId="77777777" w:rsidTr="00810A6E">
        <w:trPr>
          <w:trHeight w:val="630"/>
          <w:tblHeader/>
        </w:trPr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93EEB08" w14:textId="77777777" w:rsidR="00942937" w:rsidRPr="007E4B3B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Item</w:t>
            </w:r>
          </w:p>
        </w:tc>
        <w:tc>
          <w:tcPr>
            <w:tcW w:w="6204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DCB395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right="-50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B4C39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Information required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0862C719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spacing w:after="0" w:line="240" w:lineRule="auto"/>
              <w:ind w:left="38" w:right="314" w:hanging="5"/>
              <w:jc w:val="right"/>
              <w:rPr>
                <w:rFonts w:cs="Arial"/>
                <w:b/>
                <w:bCs/>
                <w:sz w:val="22"/>
                <w:szCs w:val="22"/>
                <w:lang w:val="en-AU" w:eastAsia="en-AU"/>
              </w:rPr>
            </w:pPr>
            <w:r w:rsidRPr="00F56064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Number</w:t>
            </w:r>
          </w:p>
        </w:tc>
      </w:tr>
      <w:tr w:rsidR="00942937" w:rsidRPr="00A7652B" w14:paraId="28E995F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B5D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F4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4CC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0C3CC0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2A5BD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11919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s.157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0BCCFD" w14:textId="4DE4BC3E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  <w:r w:rsidR="0071668E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942937" w:rsidRPr="007E4B3B" w14:paraId="68070F6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779C7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B9316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A83506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688BD9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E6D5B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1.1(c)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3FA255AE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revoking modern awards made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BDB9A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8DD764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D6BD1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77E32C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vary or revoke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6ECDE4" w14:textId="2679751E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942937" w:rsidRPr="007E4B3B" w14:paraId="3D6A2A8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E4798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DD83F7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under s.158 to make a modern award under s.157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E1C4405" w14:textId="2C06AEA5" w:rsidR="00942937" w:rsidRPr="00F56064" w:rsidRDefault="0071668E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DB1BCC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45C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F88F0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made under s.161 to vary modern awards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10C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B3AFC4D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6A4A69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1A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596D4F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awards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6746B08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6C8F51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0EE137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1A.1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86E12B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Determinations varying modern awards made under item 5 of Schedule 5, FW (TPCA) Act 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1D22B03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B330E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6E8B5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E4F768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Determinations varying modern awards made under item 7 of Schedule 5,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FF4001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45E1BB5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6774D0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AF9558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take-home pay orders made under item 9 of Schedule 5, FW 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A5339EA" w14:textId="085720A6" w:rsidR="00942937" w:rsidRPr="00F56064" w:rsidRDefault="00AA13AF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0CDE4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0A0A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1A.4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D711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9 of Schedule 5, FW 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DD42" w14:textId="77777777" w:rsidR="00942937" w:rsidRPr="00F56064" w:rsidRDefault="00FD2363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066DD3B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379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1B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B386D20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Modern enterprise awards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7FB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00EC65B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5F5C4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632ED5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modern enterprise awards made under item 4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089FEF" w14:textId="77777777" w:rsidR="00942937" w:rsidRPr="00F56064" w:rsidRDefault="00461E51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ED94B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073224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71B50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Modern enterprise awards made under item 4 of Schedule 6, FW (TPCA)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DFD05EF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ED142D" w14:paraId="5113EEF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331D86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1B.3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1006491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</w:t>
            </w:r>
            <w:r w:rsidR="006D2DB8" w:rsidRPr="00FB4C39">
              <w:rPr>
                <w:rFonts w:cs="Arial"/>
                <w:color w:val="000000"/>
                <w:szCs w:val="20"/>
                <w:lang w:val="en-AU" w:eastAsia="en-AU"/>
              </w:rPr>
              <w:t>FWC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to terminate enterprise instruments made under item 5 of Schedule 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71EBBB5" w14:textId="77777777" w:rsidR="00942937" w:rsidRPr="00F56064" w:rsidRDefault="00C60EA9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2691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C335E7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F78CEC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enterprise instruments made under item 5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E627CD" w14:textId="77777777" w:rsidR="00942937" w:rsidRPr="00F56064" w:rsidRDefault="003A405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38098D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DE20C5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1B.5</w:t>
            </w:r>
          </w:p>
        </w:tc>
        <w:tc>
          <w:tcPr>
            <w:tcW w:w="6204" w:type="dxa"/>
            <w:shd w:val="clear" w:color="auto" w:fill="auto"/>
            <w:noWrap/>
            <w:vAlign w:val="center"/>
            <w:hideMark/>
          </w:tcPr>
          <w:p w14:paraId="189C0C3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instruments made under item 9 of Schedule 6, FW 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58D9457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1A77D3D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740B4E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9E286B4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Terminations of instruments made under item 9 of Schedule 6, FW (TPCA) Act</w:t>
            </w:r>
            <w:r w:rsidR="00A51BC5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  <w:r w:rsidR="00461188"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256794A" w14:textId="77777777" w:rsidR="00942937" w:rsidRPr="00F56064" w:rsidRDefault="001A6EA6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51B4F8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05BACB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0DBA44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take-home pay orders made under item 12 of Schedule 6, FW (TPCA)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5395FC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3911225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7F0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1B.8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603EB3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Take-home pay orders made under item 12 of Schedule 6, FW (TPCA) 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24440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942937" w:rsidRPr="007E4B3B" w14:paraId="7E60B6E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59D0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2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A858F9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Enterprise agreements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558D" w14:textId="77777777" w:rsidR="00942937" w:rsidRPr="00F56064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942937" w:rsidRPr="007E4B3B" w14:paraId="54DDF48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5563A1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9DBFBD1" w14:textId="585A3211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the approval of enterprise agreements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s.185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7586315" w14:textId="3B518997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444A5D">
              <w:rPr>
                <w:rFonts w:cs="Arial"/>
                <w:color w:val="000000"/>
                <w:szCs w:val="20"/>
                <w:lang w:val="en-AU" w:eastAsia="en-AU"/>
              </w:rPr>
              <w:t>47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942937" w:rsidRPr="00F82B03" w14:paraId="565EEF1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FA6EA0" w14:textId="77777777" w:rsidR="00942937" w:rsidRPr="00461188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F72E7EF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single-enterprise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638A6AC" w14:textId="527193B4" w:rsidR="00942937" w:rsidRPr="00F56064" w:rsidRDefault="00074F1C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444A5D">
              <w:rPr>
                <w:rFonts w:cs="Arial"/>
                <w:color w:val="000000"/>
                <w:szCs w:val="20"/>
                <w:lang w:val="en-AU" w:eastAsia="en-AU"/>
              </w:rPr>
              <w:t>345</w:t>
            </w:r>
          </w:p>
        </w:tc>
      </w:tr>
      <w:tr w:rsidR="00942937" w:rsidRPr="00F82B03" w14:paraId="53E0AF4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067689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FE15F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approval of a multi-enterprise agreement*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39CDD40" w14:textId="05D72346" w:rsidR="00942937" w:rsidRPr="00F56064" w:rsidRDefault="00444A5D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22</w:t>
            </w:r>
          </w:p>
        </w:tc>
      </w:tr>
      <w:tr w:rsidR="00942937" w:rsidRPr="00F82B03" w14:paraId="4195373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B1E8A6" w14:textId="77777777" w:rsidR="00942937" w:rsidRPr="00F82B03" w:rsidRDefault="00461188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D3713AD" w14:textId="5C31CC2D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approval of a </w:t>
            </w:r>
            <w:proofErr w:type="spellStart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</w:t>
            </w:r>
            <w:proofErr w:type="spellEnd"/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enterprise agreement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 xml:space="preserve">(not including </w:t>
            </w:r>
            <w:r w:rsidR="00A027B9" w:rsidRPr="00FB4C39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 applications under s.182(4</w:t>
            </w:r>
            <w:proofErr w:type="gramStart"/>
            <w:r w:rsidR="003458CC" w:rsidRPr="00FB4C39">
              <w:rPr>
                <w:rFonts w:cs="Arial"/>
                <w:color w:val="000000"/>
                <w:szCs w:val="20"/>
                <w:lang w:val="en-AU" w:eastAsia="en-AU"/>
              </w:rPr>
              <w:t>))*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FAB8EE" w14:textId="1154EB88" w:rsidR="00942937" w:rsidRPr="00F56064" w:rsidRDefault="00444A5D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110</w:t>
            </w:r>
          </w:p>
        </w:tc>
      </w:tr>
      <w:tr w:rsidR="00942937" w:rsidRPr="00ED142D" w14:paraId="5A8734E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73E7AA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D8B1E74" w14:textId="45800E9E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D1C1CBD" w14:textId="0483F22E" w:rsidR="00942937" w:rsidRPr="00F56064" w:rsidRDefault="00EF42A4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  <w:r w:rsidR="00444A5D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942937" w:rsidRPr="00ED142D" w14:paraId="00FF72E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05959B" w14:textId="77777777" w:rsidR="00942937" w:rsidRPr="00ED142D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1490F4F" w14:textId="732BC8F9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an enterprise agreement made under</w:t>
            </w:r>
            <w:r w:rsidR="00810A6E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DD25CA" w14:textId="07CAF5F8" w:rsidR="00942937" w:rsidRPr="00F56064" w:rsidRDefault="002F2875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942937" w:rsidRPr="007E4B3B" w14:paraId="21AED72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E8BEF2" w14:textId="77777777" w:rsidR="00942937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5F22362" w14:textId="77777777" w:rsidR="00942937" w:rsidRPr="00FB4C39" w:rsidRDefault="00942937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54420E6" w14:textId="257A6C39" w:rsidR="00942937" w:rsidRPr="00F56064" w:rsidRDefault="00BE6B32" w:rsidP="00942937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2F2875">
              <w:rPr>
                <w:rFonts w:cs="Arial"/>
                <w:color w:val="000000"/>
                <w:szCs w:val="20"/>
                <w:lang w:val="en-AU" w:eastAsia="en-AU"/>
              </w:rPr>
              <w:t>152</w:t>
            </w:r>
          </w:p>
        </w:tc>
      </w:tr>
      <w:tr w:rsidR="003458CC" w:rsidRPr="007E4B3B" w14:paraId="14E366B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6686D3C7" w14:textId="32AA8744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D7755C1" w14:textId="5314146B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4621AC7F" w14:textId="663FAFB8" w:rsidR="003458CC" w:rsidRPr="00F56064" w:rsidRDefault="002F287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612</w:t>
            </w:r>
          </w:p>
        </w:tc>
      </w:tr>
      <w:tr w:rsidR="003458CC" w:rsidRPr="007E4B3B" w14:paraId="5C8BCB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72E9625C" w14:textId="586F6722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7E6F4D5E" w14:textId="30B63715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Agreements approved under s.186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</w:t>
            </w:r>
            <w:r w:rsidR="008054A5" w:rsidRPr="00FB4C39">
              <w:rPr>
                <w:rFonts w:cs="Arial"/>
                <w:szCs w:val="20"/>
                <w:lang w:val="en-AU" w:eastAsia="en-AU"/>
              </w:rPr>
              <w:t>.1</w:t>
            </w:r>
            <w:r w:rsidRPr="00FB4C39">
              <w:rPr>
                <w:rFonts w:cs="Arial"/>
                <w:szCs w:val="20"/>
                <w:lang w:val="en-AU" w:eastAsia="en-AU"/>
              </w:rPr>
              <w:t>90)*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EF8095C" w14:textId="62B054DB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szCs w:val="20"/>
                <w:lang w:val="en-AU" w:eastAsia="en-AU"/>
              </w:rPr>
            </w:pPr>
            <w:r>
              <w:rPr>
                <w:rFonts w:cs="Arial"/>
                <w:szCs w:val="20"/>
                <w:lang w:val="en-AU" w:eastAsia="en-AU"/>
              </w:rPr>
              <w:t>5</w:t>
            </w:r>
            <w:r w:rsidR="002F2875">
              <w:rPr>
                <w:rFonts w:cs="Arial"/>
                <w:szCs w:val="20"/>
                <w:lang w:val="en-AU" w:eastAsia="en-AU"/>
              </w:rPr>
              <w:t>40</w:t>
            </w:r>
          </w:p>
        </w:tc>
      </w:tr>
      <w:tr w:rsidR="003458CC" w:rsidRPr="007E4B3B" w14:paraId="4A8092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816EA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7DE07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Enterprise agreements approved under s.189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18339A" w14:textId="7CE2795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9C4E3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739C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4B7C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9E538E8" w14:textId="586943C8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2F2875">
              <w:rPr>
                <w:rFonts w:cs="Arial"/>
                <w:color w:val="000000"/>
                <w:szCs w:val="20"/>
                <w:lang w:val="en-AU" w:eastAsia="en-AU"/>
              </w:rPr>
              <w:t>049</w:t>
            </w:r>
          </w:p>
        </w:tc>
      </w:tr>
      <w:tr w:rsidR="003458CC" w:rsidRPr="007E4B3B" w14:paraId="007C1FB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6B343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BF94A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Multi-enterprise agreements approved*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8B77124" w14:textId="6D686B95" w:rsidR="003458CC" w:rsidRPr="00F56064" w:rsidRDefault="002F287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</w:t>
            </w:r>
          </w:p>
        </w:tc>
      </w:tr>
      <w:tr w:rsidR="003458CC" w:rsidRPr="007E4B3B" w14:paraId="3E42B6F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D954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0859BE6" w14:textId="152871CE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Greenfields enterprise agreements approved*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br/>
              <w:t>(includes applications made under s.182(4))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0BA830E" w14:textId="08CF50B7" w:rsidR="003458CC" w:rsidRPr="00F56064" w:rsidRDefault="00BE6B32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  <w:r w:rsidR="002F2875"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7E21C50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731D1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2FED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approve an enterprise agreement rejected*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8CA2607" w14:textId="16B5F5DC" w:rsidR="003458CC" w:rsidRPr="00F56064" w:rsidRDefault="002F287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7BC5E9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9008A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0A83B7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FF285E" w14:textId="78CA2BBE" w:rsidR="003458CC" w:rsidRPr="00F56064" w:rsidRDefault="0087399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46</w:t>
            </w:r>
          </w:p>
        </w:tc>
      </w:tr>
      <w:tr w:rsidR="003458CC" w:rsidRPr="007E4B3B" w14:paraId="482B8E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330F4CCF" w14:textId="58CBDB56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6D027258" w14:textId="1FAA4ACF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without undertakings*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11E98F4F" w14:textId="2E0FD69B" w:rsidR="003458CC" w:rsidRPr="00F56064" w:rsidRDefault="0087399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37</w:t>
            </w:r>
          </w:p>
        </w:tc>
      </w:tr>
      <w:tr w:rsidR="003458CC" w:rsidRPr="007E4B3B" w14:paraId="0115C90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4A08DB04" w14:textId="6304B57F" w:rsidR="003458CC" w:rsidRP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3458CC">
              <w:rPr>
                <w:rFonts w:cs="Arial"/>
                <w:szCs w:val="20"/>
                <w:lang w:val="en-AU" w:eastAsia="en-AU"/>
              </w:rPr>
              <w:t>Additional Data*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50C704D7" w14:textId="46B3C23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>Variations approved under s.211 with undertakings (</w:t>
            </w:r>
            <w:proofErr w:type="gramStart"/>
            <w:r w:rsidRPr="00FB4C39">
              <w:rPr>
                <w:rFonts w:cs="Arial"/>
                <w:szCs w:val="20"/>
                <w:lang w:val="en-AU" w:eastAsia="en-AU"/>
              </w:rPr>
              <w:t>s.212)*</w:t>
            </w:r>
            <w:proofErr w:type="gramEnd"/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7E118484" w14:textId="0EA0A65E" w:rsidR="003458CC" w:rsidRPr="00F56064" w:rsidRDefault="0087399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749BDD2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2085826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2.7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3CE9529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enterprise agreements approved under s.217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5E1206CD" w14:textId="5E7A45E4" w:rsidR="003458CC" w:rsidRPr="00F56064" w:rsidRDefault="0087399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1606CEF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</w:tcPr>
          <w:p w14:paraId="1A803C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</w:tcPr>
          <w:p w14:paraId="44AEDBAB" w14:textId="7C39FE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approval of a termination of an enterprise agreement</w:t>
            </w:r>
            <w:r w:rsidR="00470D98">
              <w:rPr>
                <w:rFonts w:eastAsia="Arial"/>
                <w:color w:val="000000"/>
              </w:rPr>
              <w:t> </w:t>
            </w:r>
            <w:r w:rsidRPr="00FB4C39">
              <w:rPr>
                <w:rFonts w:eastAsia="Arial"/>
                <w:color w:val="000000"/>
              </w:rPr>
              <w:t>s.222</w:t>
            </w:r>
          </w:p>
        </w:tc>
        <w:tc>
          <w:tcPr>
            <w:tcW w:w="1734" w:type="dxa"/>
            <w:shd w:val="clear" w:color="auto" w:fill="auto"/>
            <w:noWrap/>
            <w:vAlign w:val="center"/>
          </w:tcPr>
          <w:p w14:paraId="032DFB1A" w14:textId="79562879" w:rsidR="003458CC" w:rsidRPr="00F56064" w:rsidRDefault="0087399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25</w:t>
            </w:r>
          </w:p>
        </w:tc>
      </w:tr>
      <w:tr w:rsidR="003458CC" w:rsidRPr="007E4B3B" w14:paraId="174D8B7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3EAE4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FB9E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eastAsia="Arial"/>
                <w:color w:val="000000"/>
              </w:rPr>
              <w:t>Application for termination of an enterprise agreement after its nominal expiry date s.225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7B6E92" w14:textId="21F5E0C6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62</w:t>
            </w:r>
          </w:p>
        </w:tc>
      </w:tr>
      <w:tr w:rsidR="003458CC" w:rsidRPr="007E4B3B" w14:paraId="22087043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19F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3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709231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Bargaining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22D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6349EC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C786FE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92912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bargaining orders made under s.229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6D70E3B" w14:textId="1729C660" w:rsidR="003458CC" w:rsidRPr="00F56064" w:rsidRDefault="00C358C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1B6256">
              <w:rPr>
                <w:rFonts w:cs="Arial"/>
                <w:color w:val="000000"/>
                <w:szCs w:val="20"/>
                <w:lang w:val="en-AU" w:eastAsia="en-AU"/>
              </w:rPr>
              <w:t>8</w:t>
            </w:r>
          </w:p>
        </w:tc>
      </w:tr>
      <w:tr w:rsidR="003458CC" w:rsidRPr="00ED142D" w14:paraId="7342A4B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0EB950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3.2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DE7EC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serious breach declarations made under s.234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557C58D" w14:textId="3A4C8113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7CFE4A3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B5C8EF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EEA6B8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majority support determinations made under s.236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2C6A7F" w14:textId="4AF8B164" w:rsidR="003458CC" w:rsidRPr="00F56064" w:rsidRDefault="001B6256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18</w:t>
            </w:r>
          </w:p>
        </w:tc>
      </w:tr>
      <w:tr w:rsidR="003458CC" w:rsidRPr="00ED142D" w14:paraId="371383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716BFC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486AD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3811E6" w14:textId="2A2BD2B1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ED142D" w14:paraId="0E6F10C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9CB21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3.5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068D4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s.240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0A0A88D" w14:textId="4BD16E0C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42</w:t>
            </w:r>
          </w:p>
        </w:tc>
      </w:tr>
      <w:tr w:rsidR="003458CC" w:rsidRPr="007E4B3B" w14:paraId="3A2B334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E356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D86766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orders made under s.230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7A2004" w14:textId="516E5C31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E0216E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5B5ED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A5270D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Serious breach declarations made under s.235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BECE6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8ED41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352D3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014E25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Majority support determinations made under s.237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C3BD608" w14:textId="17FC82DC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7AA4DBA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6C308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98E9CA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Scope orders made under s.238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F1BDAC7" w14:textId="00BBD275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F17FD2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B4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3.10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9069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Decisions to deal with a dispute made under s.240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AB71" w14:textId="742C7C06" w:rsidR="003458CC" w:rsidRPr="00F56064" w:rsidRDefault="0052093A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18</w:t>
            </w:r>
          </w:p>
        </w:tc>
      </w:tr>
      <w:tr w:rsidR="003458CC" w:rsidRPr="007E4B3B" w14:paraId="5A1448A2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42C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4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066BD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Low-paid bargaining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DCA3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90EE96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334C8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0B196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made for low-paid authorisations under s.242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2D9654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6C009C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1CC6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E591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made under s.243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001F92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B1D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3BD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B8561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Low-paid authorisations varied under s.244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5F8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B3A9644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5C1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5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428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Single interest employer authorisations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EF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0667B00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A3950D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5.1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B9A1892" w14:textId="007A067C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single interest employer authorisations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AD74D3" w14:textId="09D75AE6" w:rsidR="003458CC" w:rsidRPr="00F56064" w:rsidRDefault="0093195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6B9D56D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D99DB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836745" w14:textId="0B92D709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remove the employer’s name from the authorisation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91D7EFC" w14:textId="578D9F6D" w:rsidR="003458CC" w:rsidRPr="00F56064" w:rsidRDefault="0093195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16E7EDC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E1A9FB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E6ED5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single interest employer authorisations to extend the period for which the authorisation is in operation made under s.252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F300B1" w14:textId="363290C7" w:rsidR="003458CC" w:rsidRPr="00F56064" w:rsidRDefault="0093195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0B84859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05A1C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5.4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E1D142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made under s.249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C9C1953" w14:textId="1D1E2411" w:rsidR="003458CC" w:rsidRPr="00F56064" w:rsidRDefault="0093195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548DB13E" w14:textId="77777777" w:rsidTr="00810A6E">
        <w:trPr>
          <w:trHeight w:val="926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0565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8136DB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remove the employer’s name from the authorisation made under s.251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C65B2EB" w14:textId="2D9B3015" w:rsidR="003458CC" w:rsidRPr="00F56064" w:rsidRDefault="0093195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4E8CFBB5" w14:textId="77777777" w:rsidTr="00810A6E">
        <w:trPr>
          <w:trHeight w:val="11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89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0864D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Single interest employer authorisations varied to extend the period for which the authorisation is in operation under s.252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8B0" w14:textId="7D1D4DC9" w:rsidR="003458CC" w:rsidRPr="00F56064" w:rsidRDefault="0093195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28A5AE5A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A12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6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C5BF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Workplace determinations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8315C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6A6CC3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1E72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2820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consent low-paid determinations made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E4553C" w14:textId="491BF915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296341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F4552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72D1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made for special low-paid workplace determinations under s.260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6D4F3B4" w14:textId="4B980B3E" w:rsidR="003458CC" w:rsidRPr="00F56064" w:rsidRDefault="00386E6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D0FB42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758CE7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4F6687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Consent low-paid determinations made under s.261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C12ECB5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D47BBC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7FBC5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5697D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Special low-paid workplace determinations made under s.262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AF893B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172AD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FBBB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50127" w14:textId="6E594D50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Industrial action related workplace determinations made under</w:t>
            </w:r>
            <w:r w:rsidR="00470D98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s.266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71A2555" w14:textId="070067CD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E2D9DDE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12D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E473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Bargaining related workplace determinations made under s.269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F12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CBCCBB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34A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7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7A15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Equal remuneration orders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A3C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7A8FE03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979E7B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4BA4F4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equal remuneration orders made under s.302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7F8EA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20DE9E80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EE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FBD2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equal remuneration orders made under s.302*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578" w14:textId="63284099" w:rsidR="003458CC" w:rsidRPr="00F56064" w:rsidRDefault="0027776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88A90A5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46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8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74D54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Transfer of business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D7B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5BFC5F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BE0A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586C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transferring employees made under s.318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4FAD80" w14:textId="111FAB79" w:rsidR="003458CC" w:rsidRPr="00F56064" w:rsidRDefault="00EF42A4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2B10DE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ED142D" w14:paraId="0F2332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1B677B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B5DD21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instruments covering a new employer and non-transferring employees made under s.319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951B896" w14:textId="14BCFB57" w:rsidR="003458CC" w:rsidRPr="00F56064" w:rsidRDefault="002B10D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ED142D" w14:paraId="6F86AF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543FF2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F2607A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variations of a transferable instrument made under s.320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10031E3" w14:textId="029CD2CF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ED142D" w14:paraId="22DFF97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01DA07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8.4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15F93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s.318 relating to instruments covering a new employer and transferring employees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5066F13" w14:textId="57E87625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2B10DE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ED142D" w14:paraId="633E784C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571B0E9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8.5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59C7EF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s.319 relating to instruments covering a new employer and non-transferring employees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FC06710" w14:textId="4400FCB9" w:rsidR="003458CC" w:rsidRPr="00F56064" w:rsidRDefault="002B10D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75459F1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F13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8.6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8DE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Variations of transferable instruments made under s.320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80AE" w14:textId="240DA2E6" w:rsidR="003458CC" w:rsidRPr="00F56064" w:rsidRDefault="002B10D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A0B0A4B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A0B5E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9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304AF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General protections—compliance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4B8A12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ED142D" w14:paraId="44C3428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96B0C5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40841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s.365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B33349" w14:textId="5A8E1361" w:rsidR="003458CC" w:rsidRPr="00F56064" w:rsidRDefault="00862A7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2B10DE">
              <w:rPr>
                <w:rFonts w:cs="Arial"/>
                <w:color w:val="000000"/>
                <w:szCs w:val="20"/>
                <w:lang w:val="en-AU" w:eastAsia="en-AU"/>
              </w:rPr>
              <w:t>504</w:t>
            </w:r>
          </w:p>
        </w:tc>
      </w:tr>
      <w:tr w:rsidR="003458CC" w:rsidRPr="00ED142D" w14:paraId="329F2BBF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1DBE1B4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9.2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B6E73C2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s.372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75BAA41" w14:textId="31D5837C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2B10DE">
              <w:rPr>
                <w:rFonts w:cs="Arial"/>
                <w:color w:val="000000"/>
                <w:szCs w:val="20"/>
                <w:lang w:val="en-AU" w:eastAsia="en-AU"/>
              </w:rPr>
              <w:t>34</w:t>
            </w:r>
          </w:p>
        </w:tc>
      </w:tr>
      <w:tr w:rsidR="003458CC" w:rsidRPr="007E4B3B" w14:paraId="0EA8D377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5E1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7C01B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s.365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FF17F2E" w14:textId="4BCF83B1" w:rsidR="003458CC" w:rsidRPr="00F56064" w:rsidRDefault="002B10D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989</w:t>
            </w:r>
          </w:p>
        </w:tc>
      </w:tr>
      <w:tr w:rsidR="003458CC" w:rsidRPr="007E4B3B" w14:paraId="5CF8E44F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DC5483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9.3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146FF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s.369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3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6DBE550" w14:textId="07CD812C" w:rsidR="003458CC" w:rsidRPr="00F56064" w:rsidRDefault="00196A2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196A25">
              <w:rPr>
                <w:rFonts w:cs="Arial"/>
                <w:color w:val="000000"/>
                <w:szCs w:val="20"/>
                <w:lang w:val="en-AU" w:eastAsia="en-AU"/>
              </w:rPr>
              <w:t>192</w:t>
            </w:r>
          </w:p>
        </w:tc>
      </w:tr>
      <w:tr w:rsidR="003458CC" w:rsidRPr="007E4B3B" w14:paraId="05C21718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35B980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BE3D22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Disputes made under s.372 that have been finalised*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E030ACC" w14:textId="069D98BF" w:rsidR="003458CC" w:rsidRPr="00F56064" w:rsidRDefault="005365C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196A25">
              <w:rPr>
                <w:rFonts w:cs="Arial"/>
                <w:color w:val="000000"/>
                <w:szCs w:val="20"/>
                <w:lang w:val="en-AU" w:eastAsia="en-AU"/>
              </w:rPr>
              <w:t>96</w:t>
            </w:r>
          </w:p>
        </w:tc>
      </w:tr>
      <w:tr w:rsidR="003458CC" w:rsidRPr="007E4B3B" w14:paraId="13318150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A54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10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5C3E3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Unfair dismissal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AFBF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6CD9591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3A854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918870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orders granting a remedy made under s.394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011041" w14:textId="74518ACE" w:rsidR="003458CC" w:rsidRPr="00F56064" w:rsidRDefault="00196A2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color w:val="000000"/>
                <w:szCs w:val="20"/>
                <w:lang w:val="en-AU" w:eastAsia="en-AU"/>
              </w:rPr>
              <w:t>3749</w:t>
            </w:r>
          </w:p>
        </w:tc>
      </w:tr>
      <w:tr w:rsidR="003458CC" w:rsidRPr="007E4B3B" w14:paraId="62DCBD55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93AB7A4" w14:textId="77777777" w:rsidR="003458CC" w:rsidRPr="00B93313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iCs/>
                <w:color w:val="000000"/>
                <w:szCs w:val="20"/>
                <w:lang w:val="en-AU" w:eastAsia="en-AU"/>
              </w:rPr>
            </w:pPr>
            <w:r w:rsidRPr="00B93313">
              <w:rPr>
                <w:rFonts w:cs="Arial"/>
                <w:iCs/>
                <w:color w:val="000000"/>
                <w:szCs w:val="20"/>
                <w:lang w:val="en-AU" w:eastAsia="en-AU"/>
              </w:rPr>
              <w:t>10.2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A4001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color w:val="000000"/>
                <w:szCs w:val="20"/>
                <w:lang w:val="en-AU" w:eastAsia="en-AU"/>
              </w:rPr>
              <w:t xml:space="preserve">Applications for an order granting a remedy under s.394: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AA479AE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05DFDB8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85DC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E11F3A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in relation to which the dismissal was found to be unfair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D4A7F" w14:textId="0612200C" w:rsidR="003458CC" w:rsidRPr="00F56064" w:rsidRDefault="00196A2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18</w:t>
            </w:r>
          </w:p>
        </w:tc>
      </w:tr>
      <w:tr w:rsidR="003458CC" w:rsidRPr="007E4B3B" w14:paraId="04B15DE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7F4B6F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21BBFB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Reinstatement orders made under s.391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D96290A" w14:textId="34D57CAC" w:rsidR="003458CC" w:rsidRPr="00F56064" w:rsidRDefault="009C090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9DBFC8A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6AFA85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10.2(a)(ii)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A1997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s.392 for the payment of compensation to a person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CBA740" w14:textId="4EF20A7F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9C0900"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6A78BA0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74467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C0720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that related to a small business employer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4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BE3BA8D" w14:textId="321C7A9D" w:rsidR="003458CC" w:rsidRPr="00F56064" w:rsidRDefault="009C090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324</w:t>
            </w:r>
          </w:p>
        </w:tc>
      </w:tr>
      <w:tr w:rsidR="003458CC" w:rsidRPr="007E4B3B" w14:paraId="43C5FE6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48522F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10.2(c)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9B2CB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dismissed because dismissal was found to be fair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5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60EE077" w14:textId="41891341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9C0900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0DC167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BED3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10.2(ca)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CD4D848" w14:textId="06F7DC83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applications dismissed in a quarter under section</w:t>
            </w:r>
            <w:r w:rsidR="007C0A46">
              <w:rPr>
                <w:rFonts w:cs="Arial"/>
                <w:color w:val="000000"/>
                <w:szCs w:val="20"/>
                <w:lang w:val="en-AU" w:eastAsia="en-AU"/>
              </w:rPr>
              <w:t> </w:t>
            </w: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399A of the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C7A09F0" w14:textId="73CE15DC" w:rsidR="003458CC" w:rsidRPr="00F56064" w:rsidRDefault="009C090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9</w:t>
            </w:r>
          </w:p>
        </w:tc>
      </w:tr>
      <w:tr w:rsidR="003458CC" w:rsidRPr="007E4B3B" w14:paraId="76BD63C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571B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10.2(d)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C47EB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consistent with the Small Business Fair Dismissal Code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B3E0E74" w14:textId="078E78DC" w:rsidR="003458CC" w:rsidRPr="00F56064" w:rsidRDefault="009C0900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</w:p>
        </w:tc>
      </w:tr>
      <w:tr w:rsidR="003458CC" w:rsidRPr="007E4B3B" w14:paraId="462B03A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A98D2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10.2(e)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599E7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Claims dismissed because the dismissal was a case of genuine redundancy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C424A58" w14:textId="6FBC3D7E" w:rsidR="003458CC" w:rsidRPr="00F56064" w:rsidRDefault="0082392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36B6F3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B374CD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10.2(f)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38AEE8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dismissed for want of jurisdiction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6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EC9903" w14:textId="458385EA" w:rsidR="003458CC" w:rsidRPr="00F56064" w:rsidRDefault="0082392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70</w:t>
            </w:r>
          </w:p>
        </w:tc>
      </w:tr>
      <w:tr w:rsidR="003458CC" w:rsidRPr="00860C3B" w14:paraId="606BDA3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39E3B4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10.2(g)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854337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Cases settled without a decision being made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7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147F417" w14:textId="7405F2EE" w:rsidR="003458CC" w:rsidRPr="00F56064" w:rsidRDefault="001A3F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  <w:r w:rsidR="00823925">
              <w:rPr>
                <w:rFonts w:cs="Arial"/>
                <w:color w:val="000000"/>
                <w:szCs w:val="20"/>
                <w:lang w:val="en-AU" w:eastAsia="en-AU"/>
              </w:rPr>
              <w:t>262</w:t>
            </w:r>
          </w:p>
        </w:tc>
      </w:tr>
      <w:tr w:rsidR="003458CC" w:rsidRPr="00860C3B" w14:paraId="7F41066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A045B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10.2(h)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339FDC2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time from the date of the application to the date of judgment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8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6CE312B" w14:textId="45F902A6" w:rsidR="003458CC" w:rsidRPr="00F56064" w:rsidRDefault="00E01AF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E01AF5">
              <w:rPr>
                <w:rFonts w:cs="Arial"/>
                <w:color w:val="000000"/>
                <w:szCs w:val="20"/>
                <w:lang w:val="en-AU" w:eastAsia="en-AU"/>
              </w:rPr>
              <w:t>79.37</w:t>
            </w:r>
          </w:p>
        </w:tc>
      </w:tr>
      <w:tr w:rsidR="003458CC" w:rsidRPr="00860C3B" w14:paraId="3FEF4AD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F77B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10.2(</w:t>
            </w:r>
            <w:proofErr w:type="spellStart"/>
            <w:r>
              <w:rPr>
                <w:rFonts w:cs="Arial"/>
                <w:color w:val="000000"/>
                <w:szCs w:val="20"/>
                <w:lang w:val="en-AU" w:eastAsia="en-AU"/>
              </w:rPr>
              <w:t>i</w:t>
            </w:r>
            <w:proofErr w:type="spellEnd"/>
            <w:r>
              <w:rPr>
                <w:rFonts w:cs="Arial"/>
                <w:color w:val="000000"/>
                <w:szCs w:val="20"/>
                <w:lang w:val="en-AU" w:eastAsia="en-AU"/>
              </w:rPr>
              <w:t>) &amp; (j)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CC02FF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szCs w:val="20"/>
                <w:lang w:val="en-AU" w:eastAsia="en-AU"/>
              </w:rPr>
              <w:t xml:space="preserve">Number of cases settled by the conduct of 1 or more conferences / the number of cases settled by hearing </w:t>
            </w:r>
            <w:r w:rsidRPr="00FB4C39">
              <w:rPr>
                <w:rStyle w:val="FootnoteReference"/>
                <w:rFonts w:cs="Arial"/>
                <w:szCs w:val="20"/>
                <w:lang w:val="en-AU" w:eastAsia="en-AU"/>
              </w:rPr>
              <w:footnoteReference w:id="9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3FC44FC" w14:textId="73656252" w:rsidR="003458CC" w:rsidRPr="00F56064" w:rsidRDefault="00E01AF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 w:themeColor="text1"/>
                <w:szCs w:val="20"/>
                <w:highlight w:val="yellow"/>
                <w:lang w:val="en-AU" w:eastAsia="en-AU"/>
              </w:rPr>
            </w:pPr>
            <w:r w:rsidRPr="00E01AF5">
              <w:rPr>
                <w:rFonts w:cs="Arial"/>
                <w:color w:val="000000" w:themeColor="text1"/>
                <w:szCs w:val="20"/>
                <w:lang w:val="en-AU" w:eastAsia="en-AU"/>
              </w:rPr>
              <w:t>98</w:t>
            </w:r>
          </w:p>
        </w:tc>
      </w:tr>
      <w:tr w:rsidR="003458CC" w:rsidRPr="00860C3B" w14:paraId="01AB646C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A17FFE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10.3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5C08E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under s.394 for FWC to deal with disputes for which the tribunal had allowed an extension of time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18E8E5" w14:textId="1464E6ED" w:rsidR="003458CC" w:rsidRPr="00F56064" w:rsidRDefault="00F14DF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14DFF"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860C3B" w14:paraId="1483DB93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73844C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10.4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4B41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for costs against a lawyer or a paid agent made under s.401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CDBBA37" w14:textId="1E3E199B" w:rsidR="003458CC" w:rsidRPr="00F56064" w:rsidRDefault="0020672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highlight w:val="yellow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860C3B" w14:paraId="60E05E6F" w14:textId="77777777" w:rsidTr="003B1B9D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18B592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10.5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9E8740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The number of costs orders made against a party to a matter in a quarter under s400A of the Act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65B80D3A" w14:textId="1AB06E6F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860C3B" w14:paraId="66C84F8B" w14:textId="77777777" w:rsidTr="003B1B9D">
        <w:trPr>
          <w:trHeight w:val="799"/>
        </w:trPr>
        <w:tc>
          <w:tcPr>
            <w:tcW w:w="1701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A58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42511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 dismissed under ss. 399A and 587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0"/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7EEE" w14:textId="277A42EF" w:rsidR="003458CC" w:rsidRPr="00F56064" w:rsidRDefault="00F14DFF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119</w:t>
            </w:r>
          </w:p>
        </w:tc>
      </w:tr>
      <w:tr w:rsidR="003458CC" w:rsidRPr="007E4B3B" w14:paraId="6F22DB61" w14:textId="77777777" w:rsidTr="00810A6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557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11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FB385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Protected action ballots and industrial action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F1D2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4C8AF5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470D2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BCF6C4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protected ballot orders made under s.437*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78B51C" w14:textId="315B26E0" w:rsidR="003458CC" w:rsidRPr="00F56064" w:rsidRDefault="00A0238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F14DFF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  <w:r w:rsidR="008930FA"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1BD2BD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B70F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11.1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629EE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vary protected ballot orders made under s.447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1B0845C" w14:textId="68048693" w:rsidR="003458CC" w:rsidRPr="00F56064" w:rsidRDefault="00B64A2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73F7D36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AA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A203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revoke protected ballot orders made under s.448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433D825" w14:textId="23DD3582" w:rsidR="003458CC" w:rsidRPr="00F56064" w:rsidRDefault="00B64A2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25</w:t>
            </w:r>
          </w:p>
        </w:tc>
      </w:tr>
      <w:tr w:rsidR="003458CC" w:rsidRPr="007E4B3B" w14:paraId="0655B58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7575E7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638D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to extend periods in which industrial action is authorised made under s.459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4DE932FB" w14:textId="199484CF" w:rsidR="003458CC" w:rsidRPr="00F56064" w:rsidRDefault="00B64A2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62</w:t>
            </w:r>
          </w:p>
        </w:tc>
      </w:tr>
      <w:tr w:rsidR="003458CC" w:rsidRPr="007E4B3B" w14:paraId="0BECB1B4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22D1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FC8BEA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varying the proportion by which an employee’s payments are reduced made under s.472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345E846" w14:textId="32284F53" w:rsidR="003458CC" w:rsidRPr="00F56064" w:rsidRDefault="00B64A2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6</w:t>
            </w:r>
          </w:p>
        </w:tc>
      </w:tr>
      <w:tr w:rsidR="003458CC" w:rsidRPr="007E4B3B" w14:paraId="72460DC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6A0BE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461188">
              <w:rPr>
                <w:rFonts w:cs="Arial"/>
                <w:color w:val="000000"/>
                <w:szCs w:val="20"/>
                <w:lang w:val="en-AU" w:eastAsia="en-AU"/>
              </w:rPr>
              <w:t>Additional Data</w:t>
            </w:r>
            <w:r>
              <w:rPr>
                <w:rFonts w:cs="Arial"/>
                <w:color w:val="000000"/>
                <w:szCs w:val="20"/>
                <w:lang w:val="en-AU" w:eastAsia="en-AU"/>
              </w:rPr>
              <w:t>*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9584C28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s.437 for a protected ballot order*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B6E51D5" w14:textId="473727EA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B64A23">
              <w:rPr>
                <w:rFonts w:cs="Arial"/>
                <w:color w:val="000000"/>
                <w:szCs w:val="20"/>
                <w:lang w:val="en-AU" w:eastAsia="en-AU"/>
              </w:rPr>
              <w:t>51</w:t>
            </w:r>
          </w:p>
        </w:tc>
      </w:tr>
      <w:tr w:rsidR="003458CC" w:rsidRPr="007E4B3B" w14:paraId="377EF9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8C5ED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8204BF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s.447 to vary a protected ballot order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A0FB427" w14:textId="309925B3" w:rsidR="003458CC" w:rsidRPr="00F56064" w:rsidRDefault="00B64A2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4</w:t>
            </w:r>
          </w:p>
        </w:tc>
      </w:tr>
      <w:tr w:rsidR="003458CC" w:rsidRPr="007E4B3B" w14:paraId="03AB580D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D268E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11.7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6B2EA4A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Extensions made under s.459 to extend a period in which industrial action is authorised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76F4B5E" w14:textId="309774D9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  <w:r w:rsidR="00B64A23">
              <w:rPr>
                <w:rFonts w:cs="Arial"/>
                <w:color w:val="000000"/>
                <w:szCs w:val="20"/>
                <w:lang w:val="en-AU" w:eastAsia="en-AU"/>
              </w:rPr>
              <w:t>7</w:t>
            </w:r>
          </w:p>
        </w:tc>
      </w:tr>
      <w:tr w:rsidR="003458CC" w:rsidRPr="007E4B3B" w14:paraId="48B6CCA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AAC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11.8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C67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made under s.472 varying the proportion by which an employee’s payments are reduced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78D" w14:textId="360D813B" w:rsidR="003458CC" w:rsidRPr="00F56064" w:rsidRDefault="00B64A23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17395FAC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D6515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12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FAC68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Right of entry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69E052D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23BAA70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18188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A720B7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742DFFC9" w14:textId="2268E107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45806B5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A66553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89FA5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relating to a dispute about the operation of Part 3-4 made under s.505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54D51D" w14:textId="05F77D5A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5</w:t>
            </w:r>
          </w:p>
        </w:tc>
      </w:tr>
      <w:tr w:rsidR="003458CC" w:rsidRPr="007E4B3B" w14:paraId="62170107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A3A09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25541A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relating to access to non-member records made under s.483AA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C3D033" w14:textId="4E51F456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2AD91BC3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8F54D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0B69A2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relating to a dispute about the operation of Part 3-4 made under s.505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1"/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8442F58" w14:textId="7DF8452E" w:rsidR="003458CC" w:rsidRPr="00F56064" w:rsidRDefault="00F722F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  <w:r w:rsidR="003458CC" w:rsidRPr="00F56064">
              <w:rPr>
                <w:rFonts w:cs="Arial"/>
                <w:color w:val="000000"/>
                <w:szCs w:val="20"/>
                <w:lang w:val="en-AU" w:eastAsia="en-AU"/>
              </w:rPr>
              <w:t xml:space="preserve"> </w:t>
            </w:r>
          </w:p>
        </w:tc>
      </w:tr>
      <w:tr w:rsidR="003458CC" w:rsidRPr="007E4B3B" w14:paraId="02C05588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0AC4A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62833EF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Actions restricting the rights exercisable under Part 3-4 by an organisation, or officials of an organisation taken under s.508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F5D20C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543971C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DFBF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12.6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2D7864C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revoked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480D77" w14:textId="6995D3B1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4FEE15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CFFB6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7EC52C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suspended under s.510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0310E50" w14:textId="52AC0083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1163199E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87F8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12.8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3E0661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entry permits made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2B914E4" w14:textId="03AEF884" w:rsidR="003458CC" w:rsidRPr="00F56064" w:rsidRDefault="001D6488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278</w:t>
            </w:r>
          </w:p>
        </w:tc>
      </w:tr>
      <w:tr w:rsidR="003458CC" w:rsidRPr="007E4B3B" w14:paraId="33601802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DA6B04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12.9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53482DC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exemption certificates made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1311F7E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13D7659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885DC5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12.10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261F63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affected member certificates made under s.520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32FF100" w14:textId="3F478756" w:rsidR="003458CC" w:rsidRPr="00F56064" w:rsidRDefault="00AE1E5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008A5481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F21D0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C4FA62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Entry permits issued under s.512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6A4EFA6" w14:textId="07809342" w:rsidR="003458CC" w:rsidRPr="00F56064" w:rsidRDefault="00914D77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</w:t>
            </w:r>
            <w:r w:rsidR="00AE1E55">
              <w:rPr>
                <w:rFonts w:cs="Arial"/>
                <w:color w:val="000000"/>
                <w:szCs w:val="20"/>
                <w:lang w:val="en-AU" w:eastAsia="en-AU"/>
              </w:rPr>
              <w:t>01</w:t>
            </w:r>
          </w:p>
        </w:tc>
      </w:tr>
      <w:tr w:rsidR="003458CC" w:rsidRPr="007E4B3B" w14:paraId="6E17363B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D877E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6C7BFA95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Exemption certificates issued under s.519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6B49177E" w14:textId="54D65F31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41CAFB0" w14:textId="77777777" w:rsidTr="00810A6E">
        <w:trPr>
          <w:trHeight w:val="63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036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12.13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DFA4F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Affected member certificates issued under s.520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D3FE" w14:textId="4AB31440" w:rsidR="003458CC" w:rsidRPr="00F56064" w:rsidRDefault="00AE1E5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2</w:t>
            </w:r>
          </w:p>
        </w:tc>
      </w:tr>
      <w:tr w:rsidR="003458CC" w:rsidRPr="007E4B3B" w14:paraId="7480B0EC" w14:textId="77777777" w:rsidTr="00810A6E">
        <w:trPr>
          <w:trHeight w:val="678"/>
        </w:trPr>
        <w:tc>
          <w:tcPr>
            <w:tcW w:w="1701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B8CA27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D40A90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proofErr w:type="gramStart"/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Miscellaneous—disputes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74A18BE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64416A" w14:paraId="5A28776B" w14:textId="77777777" w:rsidTr="00810A6E">
        <w:trPr>
          <w:trHeight w:val="717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08103AC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71AAE30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in relation to a refusal by an employer for flexible working arrangements made under s.739</w:t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43D4EA2C" w14:textId="117B4C96" w:rsidR="003458CC" w:rsidRPr="00F56064" w:rsidRDefault="00E16A6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  <w:r w:rsidR="00AE1E55">
              <w:rPr>
                <w:rFonts w:cs="Arial"/>
                <w:color w:val="000000"/>
                <w:szCs w:val="20"/>
                <w:lang w:val="en-AU" w:eastAsia="en-AU"/>
              </w:rPr>
              <w:t>1</w:t>
            </w:r>
          </w:p>
        </w:tc>
      </w:tr>
      <w:tr w:rsidR="003458CC" w:rsidRPr="007E4B3B" w14:paraId="6BFD24AB" w14:textId="77777777" w:rsidTr="00810A6E">
        <w:trPr>
          <w:trHeight w:val="568"/>
        </w:trPr>
        <w:tc>
          <w:tcPr>
            <w:tcW w:w="1701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D7A311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13.2</w:t>
            </w:r>
          </w:p>
        </w:tc>
        <w:tc>
          <w:tcPr>
            <w:tcW w:w="6204" w:type="dxa"/>
            <w:tcBorders>
              <w:top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33BB1F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FWC to deal with disputes made under s.773</w:t>
            </w:r>
          </w:p>
        </w:tc>
        <w:tc>
          <w:tcPr>
            <w:tcW w:w="1734" w:type="dxa"/>
            <w:tcBorders>
              <w:top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2CAC6075" w14:textId="440DE49D" w:rsidR="003458CC" w:rsidRPr="00F56064" w:rsidRDefault="00AE1E5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38</w:t>
            </w:r>
          </w:p>
        </w:tc>
      </w:tr>
      <w:tr w:rsidR="003458CC" w:rsidRPr="007E4B3B" w14:paraId="02888E34" w14:textId="77777777" w:rsidTr="00810A6E">
        <w:trPr>
          <w:trHeight w:val="696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AEDA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13.3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64CF6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Certificates issued under s.777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2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6C5" w14:textId="2C3FCBC3" w:rsidR="003458CC" w:rsidRPr="00F56064" w:rsidRDefault="00AE1E55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EE5D1FA" w14:textId="77777777" w:rsidTr="00810A6E">
        <w:trPr>
          <w:trHeight w:val="6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21EE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13A</w:t>
            </w:r>
          </w:p>
        </w:tc>
        <w:tc>
          <w:tcPr>
            <w:tcW w:w="6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68B69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Registered organisations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192F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57021523" w14:textId="77777777" w:rsidTr="00810A6E">
        <w:trPr>
          <w:trHeight w:val="69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B53C9D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0E30FE0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s.18A,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1E4F118" w14:textId="3F97DC76" w:rsidR="003458CC" w:rsidRPr="00F56064" w:rsidRDefault="0029684D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0D1AC5B8" w14:textId="77777777" w:rsidTr="00810A6E">
        <w:trPr>
          <w:trHeight w:val="687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BD6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5FAE7AA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s.18B,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5962BCB" w14:textId="42553506" w:rsidR="003458CC" w:rsidRPr="00F56064" w:rsidRDefault="005A712E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826AB21" w14:textId="77777777" w:rsidTr="00810A6E">
        <w:trPr>
          <w:trHeight w:val="711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71FD57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13A.1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7B4C59B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registration made under s.18C,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B19CEFE" w14:textId="77DB29CC" w:rsidR="003458CC" w:rsidRPr="00F56064" w:rsidRDefault="000002A1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77420F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800E6B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13A.2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1B5FB43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made under s.133,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D74EB64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3C7FE585" w14:textId="77777777" w:rsidTr="00810A6E">
        <w:trPr>
          <w:trHeight w:val="64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2E050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13A.3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384A82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Orders made under s.133,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3332BCC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A094116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94FC02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13A.4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1B94804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representation orders made under s.137A, FW (RO) 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B0A6D2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645FA0C3" w14:textId="77777777" w:rsidTr="00810A6E">
        <w:trPr>
          <w:trHeight w:val="622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12C860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13A.5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4B9DED7B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Representation orders made under s.137A, FW (RO) Act 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04AC630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ED142D" w14:paraId="3FA1E030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A752E6" w14:textId="77777777" w:rsidR="003458CC" w:rsidRPr="00ED142D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ED142D">
              <w:rPr>
                <w:rFonts w:cs="Arial"/>
                <w:color w:val="000000"/>
                <w:szCs w:val="20"/>
                <w:lang w:val="en-AU" w:eastAsia="en-AU"/>
              </w:rPr>
              <w:t>13A.6(a)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524174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made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49DAA7A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89F7C9D" w14:textId="77777777" w:rsidTr="00810A6E">
        <w:trPr>
          <w:trHeight w:val="7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22716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13A.6(b)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046609DD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orders cancelling recognition made under clause 3 of Schedule 2, FW 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59951DA7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96346ED" w14:textId="77777777" w:rsidTr="00810A6E">
        <w:trPr>
          <w:trHeight w:val="599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7C70EC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lastRenderedPageBreak/>
              <w:t>13A.7</w:t>
            </w:r>
          </w:p>
        </w:tc>
        <w:tc>
          <w:tcPr>
            <w:tcW w:w="6204" w:type="dxa"/>
            <w:shd w:val="clear" w:color="auto" w:fill="auto"/>
            <w:vAlign w:val="center"/>
            <w:hideMark/>
          </w:tcPr>
          <w:p w14:paraId="2604D811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Applications for recognition granted under clause 1 of Schedule 2, FW (RO) Act</w:t>
            </w:r>
          </w:p>
        </w:tc>
        <w:tc>
          <w:tcPr>
            <w:tcW w:w="1734" w:type="dxa"/>
            <w:shd w:val="clear" w:color="auto" w:fill="auto"/>
            <w:noWrap/>
            <w:vAlign w:val="center"/>
            <w:hideMark/>
          </w:tcPr>
          <w:p w14:paraId="22E1BED9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4C0CC118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4BF81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13A.8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35D54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>Orders cancelling recognition made under clause 3 of Schedule 2, FW (RO) Act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3276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0</w:t>
            </w:r>
          </w:p>
        </w:tc>
      </w:tr>
      <w:tr w:rsidR="003458CC" w:rsidRPr="007E4B3B" w14:paraId="745A8E50" w14:textId="77777777" w:rsidTr="00810A6E">
        <w:trPr>
          <w:trHeight w:val="799"/>
        </w:trPr>
        <w:tc>
          <w:tcPr>
            <w:tcW w:w="170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0588299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13B</w:t>
            </w:r>
          </w:p>
        </w:tc>
        <w:tc>
          <w:tcPr>
            <w:tcW w:w="6204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E96E8FE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b/>
                <w:bCs/>
                <w:color w:val="000000"/>
                <w:szCs w:val="20"/>
                <w:lang w:val="en-AU" w:eastAsia="en-AU"/>
              </w:rPr>
              <w:t>Transitional instruments</w:t>
            </w:r>
          </w:p>
        </w:tc>
        <w:tc>
          <w:tcPr>
            <w:tcW w:w="1734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E754810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</w:p>
        </w:tc>
      </w:tr>
      <w:tr w:rsidR="003458CC" w:rsidRPr="007E4B3B" w14:paraId="3BFBF389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511280AF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13B.1</w:t>
            </w:r>
          </w:p>
        </w:tc>
        <w:tc>
          <w:tcPr>
            <w:tcW w:w="620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  <w:hideMark/>
          </w:tcPr>
          <w:p w14:paraId="4DDF8986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Applications for conditional terminations made under item 18 of Schedule 3, FW 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3"/>
            </w:r>
          </w:p>
        </w:tc>
        <w:tc>
          <w:tcPr>
            <w:tcW w:w="1734" w:type="dxa"/>
            <w:tcBorders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14:paraId="13ABAC41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  <w:tr w:rsidR="003458CC" w:rsidRPr="007E4B3B" w14:paraId="05CD7936" w14:textId="77777777" w:rsidTr="00810A6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91E8" w14:textId="77777777" w:rsidR="003458CC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>
              <w:rPr>
                <w:rFonts w:cs="Arial"/>
                <w:color w:val="000000"/>
                <w:szCs w:val="20"/>
                <w:lang w:val="en-AU" w:eastAsia="en-AU"/>
              </w:rPr>
              <w:t>13B.2</w:t>
            </w:r>
          </w:p>
        </w:tc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7C4187" w14:textId="77777777" w:rsidR="003458CC" w:rsidRPr="00FB4C39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right="0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B4C39">
              <w:rPr>
                <w:rFonts w:cs="Arial"/>
                <w:color w:val="000000"/>
                <w:szCs w:val="20"/>
                <w:lang w:val="en-AU" w:eastAsia="en-AU"/>
              </w:rPr>
              <w:t xml:space="preserve">Conditional terminations made under item 18 of Schedule 3, FW (TPCA) Act </w:t>
            </w:r>
            <w:r w:rsidRPr="00FB4C39">
              <w:rPr>
                <w:rStyle w:val="FootnoteReference"/>
                <w:rFonts w:cs="Arial"/>
                <w:color w:val="000000"/>
                <w:szCs w:val="20"/>
                <w:lang w:val="en-AU" w:eastAsia="en-AU"/>
              </w:rPr>
              <w:footnoteReference w:id="14"/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67C" w14:textId="77777777" w:rsidR="003458CC" w:rsidRPr="00F56064" w:rsidRDefault="003458CC" w:rsidP="003458CC">
            <w:pPr>
              <w:tabs>
                <w:tab w:val="clear" w:pos="567"/>
                <w:tab w:val="clear" w:pos="1134"/>
              </w:tabs>
              <w:autoSpaceDE w:val="0"/>
              <w:autoSpaceDN w:val="0"/>
              <w:adjustRightInd w:val="0"/>
              <w:spacing w:after="0" w:line="240" w:lineRule="auto"/>
              <w:ind w:left="38" w:right="314" w:hanging="5"/>
              <w:jc w:val="right"/>
              <w:rPr>
                <w:rFonts w:cs="Arial"/>
                <w:color w:val="000000"/>
                <w:szCs w:val="20"/>
                <w:lang w:val="en-AU" w:eastAsia="en-AU"/>
              </w:rPr>
            </w:pPr>
            <w:r w:rsidRPr="00F56064">
              <w:rPr>
                <w:rFonts w:cs="Arial"/>
                <w:color w:val="000000"/>
                <w:szCs w:val="20"/>
                <w:lang w:val="en-AU" w:eastAsia="en-AU"/>
              </w:rPr>
              <w:t>NA</w:t>
            </w:r>
          </w:p>
        </w:tc>
      </w:tr>
    </w:tbl>
    <w:p w14:paraId="63CF3A91" w14:textId="77777777" w:rsidR="00EE1AB6" w:rsidRDefault="00EE1AB6" w:rsidP="007C0A46">
      <w:pPr>
        <w:pStyle w:val="Heading2"/>
      </w:pPr>
      <w:r>
        <w:t>Notes</w:t>
      </w:r>
    </w:p>
    <w:p w14:paraId="2006CAB5" w14:textId="77777777" w:rsidR="00EE1AB6" w:rsidRDefault="00EE1AB6" w:rsidP="007C0A46">
      <w:pPr>
        <w:spacing w:after="120"/>
      </w:pPr>
      <w:r w:rsidRPr="009167D6">
        <w:t xml:space="preserve">* Additional </w:t>
      </w:r>
      <w:r>
        <w:t>i</w:t>
      </w:r>
      <w:r w:rsidRPr="009167D6">
        <w:t>nformation included for completeness by</w:t>
      </w:r>
      <w:r>
        <w:t xml:space="preserve"> the</w:t>
      </w:r>
      <w:r w:rsidRPr="009167D6">
        <w:t xml:space="preserve"> Fair Work </w:t>
      </w:r>
      <w:r>
        <w:t>Commission</w:t>
      </w:r>
      <w:r w:rsidRPr="009167D6">
        <w:t>.</w:t>
      </w:r>
    </w:p>
    <w:p w14:paraId="3F9B4929" w14:textId="77777777" w:rsidR="00EE1AB6" w:rsidRPr="009167D6" w:rsidRDefault="00EE1AB6" w:rsidP="007C0A46">
      <w:pPr>
        <w:spacing w:after="120"/>
      </w:pPr>
      <w:r w:rsidRPr="009167D6">
        <w:t xml:space="preserve">Unless otherwise stated sections referred to above reference the </w:t>
      </w:r>
      <w:r w:rsidRPr="009167D6">
        <w:rPr>
          <w:i/>
        </w:rPr>
        <w:t>Fair Work Act 2009.</w:t>
      </w:r>
    </w:p>
    <w:p w14:paraId="435287B4" w14:textId="77777777" w:rsidR="00EE1AB6" w:rsidRDefault="00EE1AB6" w:rsidP="007C0A46">
      <w:pPr>
        <w:spacing w:after="120"/>
      </w:pPr>
      <w:r w:rsidRPr="009167D6">
        <w:t xml:space="preserve">FW (TPCA) Act refers to the </w:t>
      </w:r>
      <w:r w:rsidRPr="009167D6">
        <w:rPr>
          <w:i/>
        </w:rPr>
        <w:t>Fair Work (Transitional Provisions and Consequential Amendments) Act 2009.</w:t>
      </w:r>
    </w:p>
    <w:p w14:paraId="502CEE1D" w14:textId="77777777" w:rsidR="00EE1AB6" w:rsidRDefault="00EE1AB6" w:rsidP="007C0A46">
      <w:pPr>
        <w:spacing w:after="120"/>
      </w:pPr>
      <w:r w:rsidRPr="009167D6">
        <w:t xml:space="preserve">FW (RO) Act refers to the </w:t>
      </w:r>
      <w:r w:rsidRPr="009167D6">
        <w:rPr>
          <w:i/>
        </w:rPr>
        <w:t xml:space="preserve">Fair Work (Registered </w:t>
      </w:r>
      <w:proofErr w:type="spellStart"/>
      <w:r w:rsidRPr="009167D6">
        <w:rPr>
          <w:i/>
        </w:rPr>
        <w:t>Organisations</w:t>
      </w:r>
      <w:proofErr w:type="spellEnd"/>
      <w:r w:rsidRPr="009167D6">
        <w:rPr>
          <w:i/>
        </w:rPr>
        <w:t>) Act 2009.</w:t>
      </w:r>
    </w:p>
    <w:p w14:paraId="30754905" w14:textId="77777777" w:rsidR="00EE1AB6" w:rsidRDefault="00EE1AB6" w:rsidP="007C0A46">
      <w:pPr>
        <w:pStyle w:val="Heading2"/>
      </w:pPr>
      <w:r w:rsidRPr="009167D6">
        <w:t>Disclaimer</w:t>
      </w:r>
    </w:p>
    <w:p w14:paraId="0C71D419" w14:textId="72872B71" w:rsidR="00C90AB7" w:rsidRDefault="00C90AB7" w:rsidP="007C0A46">
      <w:r>
        <w:t>This report should be read in conjunction with the Fair Work Commission information note for Quarterly reports</w:t>
      </w:r>
      <w:r w:rsidR="00FE3340">
        <w:t>.</w:t>
      </w:r>
    </w:p>
    <w:p w14:paraId="05E26DCC" w14:textId="77777777" w:rsidR="00EE1AB6" w:rsidRDefault="00EE1AB6" w:rsidP="007C0A46">
      <w:r w:rsidRPr="009167D6">
        <w:t xml:space="preserve">In compiling this quarterly report all efforts have been made to ensure statistical accuracy, however, minor revisions in figures may occur from time to time. The Fair Work </w:t>
      </w:r>
      <w:r>
        <w:t>Commission</w:t>
      </w:r>
      <w:r w:rsidRPr="009167D6">
        <w:t xml:space="preserve"> annual report, which is tabled in the Australian Parliament each year, is the official statistical record of tribunal activities for the financial year.</w:t>
      </w:r>
    </w:p>
    <w:p w14:paraId="7FADD0F1" w14:textId="77777777" w:rsidR="00EE1AB6" w:rsidRPr="000E4A37" w:rsidRDefault="00EE1AB6" w:rsidP="007C0A46">
      <w:pPr>
        <w:pStyle w:val="Heading2"/>
      </w:pPr>
      <w:r w:rsidRPr="00F060A1">
        <w:t>Further information</w:t>
      </w:r>
    </w:p>
    <w:p w14:paraId="05C8345A" w14:textId="62BBE483" w:rsidR="001D1A10" w:rsidRPr="00606400" w:rsidRDefault="00DE7C11" w:rsidP="00491674">
      <w:r w:rsidRPr="009167D6">
        <w:t xml:space="preserve">If you have an inquiry about this report please </w:t>
      </w:r>
      <w:r>
        <w:t>contact</w:t>
      </w:r>
      <w:r w:rsidR="00DB60A2">
        <w:t xml:space="preserve"> the</w:t>
      </w:r>
      <w:r w:rsidR="004A409A" w:rsidRPr="0063523F">
        <w:t xml:space="preserve"> </w:t>
      </w:r>
      <w:r w:rsidR="00A030FA">
        <w:t>Data Management Team, Enabling Services Branch</w:t>
      </w:r>
      <w:r w:rsidR="004A409A" w:rsidRPr="0063523F">
        <w:t xml:space="preserve"> by email </w:t>
      </w:r>
      <w:r w:rsidR="00A030FA">
        <w:t xml:space="preserve">at </w:t>
      </w:r>
      <w:hyperlink r:id="rId13" w:history="1">
        <w:r w:rsidR="00A030FA" w:rsidRPr="007B5ACC">
          <w:rPr>
            <w:rStyle w:val="Hyperlink"/>
            <w:rFonts w:cs="Arial"/>
            <w:sz w:val="18"/>
            <w:szCs w:val="18"/>
          </w:rPr>
          <w:t>tdr@fwc.gov.au</w:t>
        </w:r>
      </w:hyperlink>
      <w:r w:rsidR="00491674">
        <w:t>.</w:t>
      </w:r>
    </w:p>
    <w:sectPr w:rsidR="001D1A10" w:rsidRPr="00606400" w:rsidSect="00FB4B98">
      <w:footerReference w:type="default" r:id="rId14"/>
      <w:headerReference w:type="first" r:id="rId15"/>
      <w:footerReference w:type="first" r:id="rId16"/>
      <w:type w:val="continuous"/>
      <w:pgSz w:w="11906" w:h="16838" w:code="9"/>
      <w:pgMar w:top="680" w:right="851" w:bottom="851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CE276" w14:textId="77777777" w:rsidR="00326C78" w:rsidRDefault="00326C78" w:rsidP="001C637A">
      <w:r>
        <w:separator/>
      </w:r>
    </w:p>
  </w:endnote>
  <w:endnote w:type="continuationSeparator" w:id="0">
    <w:p w14:paraId="5F7F1E7E" w14:textId="77777777" w:rsidR="00326C78" w:rsidRDefault="00326C78" w:rsidP="001C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A8CFE" w14:textId="6BBBE258" w:rsidR="00074F1C" w:rsidRPr="0077142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DF4D6" w14:textId="003B30BB" w:rsidR="00074F1C" w:rsidRPr="002D2B5D" w:rsidRDefault="00074F1C" w:rsidP="006C5E01">
    <w:pPr>
      <w:pStyle w:val="Footer"/>
      <w:pBdr>
        <w:top w:val="single" w:sz="4" w:space="1" w:color="auto"/>
      </w:pBdr>
      <w:tabs>
        <w:tab w:val="clear" w:pos="5103"/>
        <w:tab w:val="center" w:pos="4820"/>
      </w:tabs>
      <w:ind w:right="-2"/>
    </w:pPr>
    <w:r w:rsidRPr="002D2B5D">
      <w:tab/>
    </w:r>
    <w:hyperlink r:id="rId1" w:history="1">
      <w:r w:rsidRPr="000B6D00">
        <w:rPr>
          <w:rStyle w:val="Links"/>
          <w:sz w:val="16"/>
        </w:rPr>
        <w:t>www.fwc.gov.au</w:t>
      </w:r>
    </w:hyperlink>
    <w:r w:rsidRPr="002D2B5D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10</w:t>
    </w:r>
    <w:r>
      <w:fldChar w:fldCharType="end"/>
    </w:r>
    <w:r w:rsidRPr="002D2B5D">
      <w:t>/</w:t>
    </w:r>
    <w:r>
      <w:fldChar w:fldCharType="begin"/>
    </w:r>
    <w:r>
      <w:instrText xml:space="preserve"> NUMPAGES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BEF59" w14:textId="77777777" w:rsidR="00326C78" w:rsidRDefault="00326C78" w:rsidP="001C637A">
      <w:r>
        <w:separator/>
      </w:r>
    </w:p>
  </w:footnote>
  <w:footnote w:type="continuationSeparator" w:id="0">
    <w:p w14:paraId="168DAF37" w14:textId="77777777" w:rsidR="00326C78" w:rsidRDefault="00326C78" w:rsidP="001C637A">
      <w:r>
        <w:continuationSeparator/>
      </w:r>
    </w:p>
  </w:footnote>
  <w:footnote w:id="1">
    <w:p w14:paraId="086EC991" w14:textId="270491F3" w:rsidR="00074F1C" w:rsidRPr="00461188" w:rsidRDefault="00074F1C" w:rsidP="0077142D">
      <w:pPr>
        <w:tabs>
          <w:tab w:val="clear" w:pos="1134"/>
          <w:tab w:val="left" w:pos="142"/>
        </w:tabs>
        <w:spacing w:after="0"/>
        <w:ind w:left="142" w:right="0" w:hanging="142"/>
        <w:rPr>
          <w:i/>
          <w:iCs/>
        </w:rPr>
      </w:pPr>
      <w:r w:rsidRPr="00474946">
        <w:rPr>
          <w:rFonts w:cs="Arial"/>
          <w:color w:val="000000"/>
          <w:sz w:val="16"/>
          <w:szCs w:val="16"/>
          <w:vertAlign w:val="superscript"/>
          <w:lang w:eastAsia="en-AU"/>
        </w:rPr>
        <w:footnoteRef/>
      </w:r>
      <w:r>
        <w:rPr>
          <w:rFonts w:cs="Arial"/>
          <w:color w:val="000000"/>
          <w:sz w:val="16"/>
          <w:szCs w:val="16"/>
          <w:vertAlign w:val="superscript"/>
          <w:lang w:eastAsia="en-AU"/>
        </w:rPr>
        <w:tab/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If 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an enterprise instrument was received by the end of 31 December 2013, the instrument terminated after that date pursuant to Item 9(4) of the </w:t>
      </w:r>
      <w:r w:rsidRPr="000270F6">
        <w:rPr>
          <w:rFonts w:cs="Arial"/>
          <w:i/>
          <w:color w:val="000000"/>
          <w:sz w:val="16"/>
          <w:szCs w:val="16"/>
          <w:lang w:eastAsia="en-AU"/>
        </w:rPr>
        <w:t>FW (TPCA) Act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. The number provided for this item is the </w:t>
      </w:r>
      <w:r>
        <w:rPr>
          <w:rFonts w:cs="Arial"/>
          <w:color w:val="000000"/>
          <w:sz w:val="16"/>
          <w:szCs w:val="16"/>
          <w:lang w:eastAsia="en-AU"/>
        </w:rPr>
        <w:t>known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 number of enterprise instruments for which </w:t>
      </w:r>
      <w:r>
        <w:rPr>
          <w:rFonts w:cs="Arial"/>
          <w:color w:val="000000"/>
          <w:sz w:val="16"/>
          <w:szCs w:val="16"/>
          <w:lang w:eastAsia="en-AU"/>
        </w:rPr>
        <w:t xml:space="preserve">there was </w:t>
      </w:r>
      <w:r w:rsidRPr="00474946">
        <w:rPr>
          <w:rFonts w:cs="Arial"/>
          <w:color w:val="000000"/>
          <w:sz w:val="16"/>
          <w:szCs w:val="16"/>
          <w:lang w:eastAsia="en-AU"/>
        </w:rPr>
        <w:t xml:space="preserve">no application to </w:t>
      </w:r>
      <w:proofErr w:type="spellStart"/>
      <w:r w:rsidRPr="00474946">
        <w:rPr>
          <w:rFonts w:cs="Arial"/>
          <w:color w:val="000000"/>
          <w:sz w:val="16"/>
          <w:szCs w:val="16"/>
          <w:lang w:eastAsia="en-AU"/>
        </w:rPr>
        <w:t>modernise</w:t>
      </w:r>
      <w:proofErr w:type="spellEnd"/>
      <w:r w:rsidRPr="00474946">
        <w:rPr>
          <w:rFonts w:cs="Arial"/>
          <w:color w:val="000000"/>
          <w:sz w:val="16"/>
          <w:szCs w:val="16"/>
          <w:lang w:eastAsia="en-AU"/>
        </w:rPr>
        <w:t xml:space="preserve"> or terminate by 31 December 2013</w:t>
      </w:r>
    </w:p>
  </w:footnote>
  <w:footnote w:id="2">
    <w:p w14:paraId="1D37836A" w14:textId="75CAA184" w:rsidR="00074F1C" w:rsidRPr="00055FBC" w:rsidRDefault="00074F1C" w:rsidP="00F92C22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 w:rsidRPr="004E30EE">
        <w:rPr>
          <w:rStyle w:val="FootnoteReference"/>
        </w:rPr>
        <w:footnoteRef/>
      </w:r>
      <w:r>
        <w:t xml:space="preserve"> </w:t>
      </w:r>
      <w:r>
        <w:tab/>
      </w:r>
      <w:r w:rsidRPr="0014315F">
        <w:rPr>
          <w:rFonts w:cs="Arial"/>
          <w:color w:val="000000"/>
          <w:sz w:val="16"/>
          <w:szCs w:val="16"/>
          <w:lang w:eastAsia="en-AU"/>
        </w:rPr>
        <w:t>This is a count of all matters resulted in the reporting period after intervention from FWC. This does not include invalid applications or applications that are withdrawn.</w:t>
      </w:r>
    </w:p>
  </w:footnote>
  <w:footnote w:id="3">
    <w:p w14:paraId="75B934C6" w14:textId="0246CB63" w:rsidR="00074F1C" w:rsidRPr="00055FBC" w:rsidRDefault="00074F1C" w:rsidP="00153165">
      <w:pPr>
        <w:pStyle w:val="FootnoteText"/>
        <w:tabs>
          <w:tab w:val="clear" w:pos="1134"/>
          <w:tab w:val="left" w:pos="142"/>
        </w:tabs>
        <w:ind w:left="142" w:right="0" w:hanging="142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4E30EE">
        <w:rPr>
          <w:rFonts w:cs="Arial"/>
          <w:color w:val="000000"/>
          <w:sz w:val="16"/>
          <w:szCs w:val="16"/>
          <w:lang w:eastAsia="en-AU"/>
        </w:rPr>
        <w:t>From 1 January 2014 certificates are issued under section 368. This figure includes certificates under with section 368 or section 369.</w:t>
      </w:r>
    </w:p>
  </w:footnote>
  <w:footnote w:id="4">
    <w:p w14:paraId="5D2A83C4" w14:textId="70F54943" w:rsidR="00074F1C" w:rsidRPr="00250D7F" w:rsidRDefault="00074F1C" w:rsidP="00153165">
      <w:pPr>
        <w:tabs>
          <w:tab w:val="clear" w:pos="1134"/>
          <w:tab w:val="left" w:pos="142"/>
        </w:tabs>
        <w:spacing w:after="0"/>
        <w:ind w:left="142" w:right="0" w:hanging="142"/>
        <w:jc w:val="both"/>
        <w:rPr>
          <w:lang w:val="en-AU"/>
        </w:rPr>
      </w:pPr>
      <w:r w:rsidRPr="004E30EE">
        <w:rPr>
          <w:rStyle w:val="FootnoteReference"/>
          <w:szCs w:val="20"/>
        </w:rPr>
        <w:footnoteRef/>
      </w:r>
      <w:r w:rsidRPr="004E30EE">
        <w:rPr>
          <w:szCs w:val="20"/>
        </w:rPr>
        <w:t xml:space="preserve"> </w:t>
      </w:r>
      <w:r>
        <w:rPr>
          <w:szCs w:val="20"/>
        </w:rPr>
        <w:tab/>
      </w:r>
      <w:r w:rsidRPr="004C78DA">
        <w:rPr>
          <w:sz w:val="16"/>
          <w:szCs w:val="16"/>
        </w:rPr>
        <w:t xml:space="preserve">Data reported </w:t>
      </w:r>
      <w:r>
        <w:rPr>
          <w:sz w:val="16"/>
          <w:szCs w:val="16"/>
        </w:rPr>
        <w:t>in the period it is collected b</w:t>
      </w:r>
      <w:r w:rsidRPr="004C78DA">
        <w:rPr>
          <w:sz w:val="16"/>
          <w:szCs w:val="16"/>
        </w:rPr>
        <w:t>ased on information provided by the r</w:t>
      </w:r>
      <w:r>
        <w:rPr>
          <w:sz w:val="16"/>
          <w:szCs w:val="16"/>
        </w:rPr>
        <w:t>espondent where available</w:t>
      </w:r>
      <w:r w:rsidRPr="004C78DA">
        <w:rPr>
          <w:sz w:val="16"/>
          <w:szCs w:val="16"/>
        </w:rPr>
        <w:t>. If a conciliation was not conducted, data is not collected</w:t>
      </w:r>
      <w:r>
        <w:rPr>
          <w:sz w:val="16"/>
          <w:szCs w:val="16"/>
        </w:rPr>
        <w:t>.</w:t>
      </w:r>
    </w:p>
  </w:footnote>
  <w:footnote w:id="5">
    <w:p w14:paraId="430DEF83" w14:textId="262FADA1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Formerly inclusive of applications dismissed without a full co</w:t>
      </w:r>
      <w:r>
        <w:rPr>
          <w:sz w:val="16"/>
          <w:szCs w:val="16"/>
        </w:rPr>
        <w:t>nsideration of the merits, see u</w:t>
      </w:r>
      <w:r w:rsidRPr="00FE3340">
        <w:rPr>
          <w:sz w:val="16"/>
          <w:szCs w:val="16"/>
        </w:rPr>
        <w:t>nfair dismissal quarterly report and published information note for detail of this data item</w:t>
      </w:r>
      <w:r>
        <w:rPr>
          <w:sz w:val="16"/>
          <w:szCs w:val="16"/>
        </w:rPr>
        <w:t>.</w:t>
      </w:r>
    </w:p>
  </w:footnote>
  <w:footnote w:id="6">
    <w:p w14:paraId="08AA515B" w14:textId="0FAE3254" w:rsidR="00074F1C" w:rsidRPr="00DE3D93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rFonts w:cs="Arial"/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="00DE3D93" w:rsidRPr="00DE3D93">
        <w:rPr>
          <w:rFonts w:cs="Arial"/>
          <w:sz w:val="16"/>
          <w:szCs w:val="16"/>
          <w:lang w:val="en-AU"/>
        </w:rPr>
        <w:t>Includes matters dismissed for the following reasons: Application up to and including 7 days late; Application more than 7 days late; Applicant not an employee (s.382(a)); Applicant not dismissed (s.385(a)); Application has no reasonable prospects of success (s.587(1)(c)); Application is frivolous or vexatious (s.587(1)(b)); Dismissal was a case of genuine redundancy (s.385(d)); Dismissal was consistent with the Small Business Fair Dismissal Code (s.385(c)); Earnings more than high income threshold and no modern award or enterprise agreement (s.382(b)); Employer not a national system employer (s.382(a)); Minimum employment period not completed (s.382(a)); Multiple applications (s.725 s.733).</w:t>
      </w:r>
    </w:p>
  </w:footnote>
  <w:footnote w:id="7">
    <w:p w14:paraId="08FFBE98" w14:textId="21A56F2A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except by substantive decision or for want of jurisdiction.</w:t>
      </w:r>
    </w:p>
  </w:footnote>
  <w:footnote w:id="8">
    <w:p w14:paraId="563F78FA" w14:textId="4AB02568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FE3340">
        <w:rPr>
          <w:sz w:val="16"/>
          <w:szCs w:val="16"/>
          <w:lang w:val="en-AU"/>
        </w:rPr>
        <w:t>Judgment means all matters finalised by substantive decision or for want of jurisdiction, inclusive of applications finalised by dismissal under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399A and s</w:t>
      </w:r>
      <w:r>
        <w:rPr>
          <w:sz w:val="16"/>
          <w:szCs w:val="16"/>
          <w:lang w:val="en-AU"/>
        </w:rPr>
        <w:t>.</w:t>
      </w:r>
      <w:r w:rsidRPr="00FE3340">
        <w:rPr>
          <w:sz w:val="16"/>
          <w:szCs w:val="16"/>
          <w:lang w:val="en-AU"/>
        </w:rPr>
        <w:t>587. The calculation is based on the average number of days from the date of application to the date of judgment.</w:t>
      </w:r>
    </w:p>
  </w:footnote>
  <w:footnote w:id="9">
    <w:p w14:paraId="5C10EBA8" w14:textId="249FA82F" w:rsidR="00074F1C" w:rsidRPr="00FE3340" w:rsidRDefault="00074F1C" w:rsidP="00810A6E">
      <w:pPr>
        <w:pStyle w:val="FootnoteText"/>
        <w:tabs>
          <w:tab w:val="clear" w:pos="1134"/>
          <w:tab w:val="left" w:pos="284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 xml:space="preserve">All matters </w:t>
      </w:r>
      <w:proofErr w:type="spellStart"/>
      <w:r w:rsidRPr="00FE3340">
        <w:rPr>
          <w:sz w:val="16"/>
          <w:szCs w:val="16"/>
        </w:rPr>
        <w:t>finalised</w:t>
      </w:r>
      <w:proofErr w:type="spellEnd"/>
      <w:r w:rsidRPr="00FE3340">
        <w:rPr>
          <w:sz w:val="16"/>
          <w:szCs w:val="16"/>
        </w:rPr>
        <w:t xml:space="preserve"> by substantive decision or for want of jurisdiction.</w:t>
      </w:r>
    </w:p>
  </w:footnote>
  <w:footnote w:id="10">
    <w:p w14:paraId="38F78A31" w14:textId="1AD52803" w:rsidR="00074F1C" w:rsidRPr="00FA6B35" w:rsidRDefault="00074F1C" w:rsidP="00810A6E">
      <w:pPr>
        <w:pStyle w:val="FootnoteText"/>
        <w:tabs>
          <w:tab w:val="clear" w:pos="1134"/>
          <w:tab w:val="left" w:pos="284"/>
          <w:tab w:val="center" w:pos="4535"/>
        </w:tabs>
        <w:ind w:left="284" w:right="0" w:hanging="284"/>
        <w:rPr>
          <w:sz w:val="16"/>
          <w:szCs w:val="16"/>
          <w:lang w:val="en-AU"/>
        </w:rPr>
      </w:pPr>
      <w:r w:rsidRPr="00FE3340">
        <w:rPr>
          <w:rStyle w:val="FootnoteReference"/>
        </w:rPr>
        <w:footnoteRef/>
      </w:r>
      <w:r w:rsidRPr="00FE3340">
        <w:t xml:space="preserve"> </w:t>
      </w:r>
      <w:r>
        <w:tab/>
      </w:r>
      <w:r w:rsidRPr="00FE3340">
        <w:rPr>
          <w:sz w:val="16"/>
          <w:szCs w:val="16"/>
        </w:rPr>
        <w:t>Previously reported within items 10.2(c) and 10.2(f)</w:t>
      </w:r>
    </w:p>
  </w:footnote>
  <w:footnote w:id="11">
    <w:p w14:paraId="0B7D5704" w14:textId="77777777" w:rsidR="00074F1C" w:rsidRPr="00A51BC5" w:rsidRDefault="00074F1C" w:rsidP="00FE3340">
      <w:pPr>
        <w:pStyle w:val="FootnoteText"/>
        <w:ind w:right="0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065035">
        <w:rPr>
          <w:sz w:val="16"/>
          <w:szCs w:val="16"/>
          <w:lang w:val="en-AU"/>
        </w:rPr>
        <w:t>Count of orders</w:t>
      </w:r>
      <w:r>
        <w:rPr>
          <w:sz w:val="16"/>
          <w:szCs w:val="16"/>
          <w:lang w:val="en-AU"/>
        </w:rPr>
        <w:t xml:space="preserve"> issued when the application is granted. Orders issued when dismissing an application are not included in the data</w:t>
      </w:r>
    </w:p>
  </w:footnote>
  <w:footnote w:id="12">
    <w:p w14:paraId="627FE66E" w14:textId="6EB42771" w:rsidR="00074F1C" w:rsidRPr="00A51BC5" w:rsidRDefault="00074F1C" w:rsidP="00491674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491674">
        <w:rPr>
          <w:rFonts w:cs="Arial"/>
        </w:rPr>
        <w:tab/>
      </w:r>
      <w:r w:rsidRPr="00491674">
        <w:rPr>
          <w:rFonts w:cs="Arial"/>
          <w:color w:val="000000"/>
          <w:sz w:val="16"/>
          <w:szCs w:val="16"/>
          <w:lang w:eastAsia="en-AU"/>
        </w:rPr>
        <w:t>From 1 January 2014, certificates are issued under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  <w:r>
        <w:rPr>
          <w:rFonts w:cs="Arial"/>
          <w:color w:val="000000"/>
          <w:sz w:val="16"/>
          <w:szCs w:val="16"/>
          <w:lang w:eastAsia="en-AU"/>
        </w:rPr>
        <w:t xml:space="preserve"> </w:t>
      </w:r>
      <w:r w:rsidRPr="00491674">
        <w:rPr>
          <w:rFonts w:cs="Arial"/>
          <w:color w:val="000000"/>
          <w:sz w:val="16"/>
          <w:szCs w:val="16"/>
          <w:lang w:eastAsia="en-AU"/>
        </w:rPr>
        <w:t>This figure includes certificates under either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777 or 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491674">
        <w:rPr>
          <w:rFonts w:cs="Arial"/>
          <w:color w:val="000000"/>
          <w:sz w:val="16"/>
          <w:szCs w:val="16"/>
          <w:lang w:eastAsia="en-AU"/>
        </w:rPr>
        <w:t>778.</w:t>
      </w:r>
    </w:p>
  </w:footnote>
  <w:footnote w:id="13">
    <w:p w14:paraId="5FB7E9B8" w14:textId="6227BC14" w:rsidR="00074F1C" w:rsidRPr="003100C9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rFonts w:cs="Arial"/>
          <w:color w:val="000000"/>
          <w:sz w:val="16"/>
          <w:szCs w:val="16"/>
          <w:lang w:eastAsia="en-AU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apply for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  <w:footnote w:id="14">
    <w:p w14:paraId="2D8E16EE" w14:textId="6A1E7342" w:rsidR="00074F1C" w:rsidRPr="00921650" w:rsidRDefault="00074F1C" w:rsidP="003100C9">
      <w:pPr>
        <w:pStyle w:val="FootnoteText"/>
        <w:tabs>
          <w:tab w:val="clear" w:pos="567"/>
          <w:tab w:val="left" w:pos="284"/>
        </w:tabs>
        <w:ind w:left="284" w:right="0" w:hanging="284"/>
        <w:rPr>
          <w:lang w:val="en-AU"/>
        </w:rPr>
      </w:pPr>
      <w:r w:rsidRPr="003100C9">
        <w:rPr>
          <w:rFonts w:cs="Arial"/>
          <w:color w:val="000000"/>
          <w:sz w:val="16"/>
          <w:szCs w:val="16"/>
          <w:lang w:eastAsia="en-AU"/>
        </w:rPr>
        <w:footnoteRef/>
      </w:r>
      <w:r w:rsidRPr="003100C9">
        <w:rPr>
          <w:rFonts w:cs="Arial"/>
          <w:color w:val="000000"/>
          <w:sz w:val="16"/>
          <w:szCs w:val="16"/>
          <w:lang w:eastAsia="en-AU"/>
        </w:rPr>
        <w:t xml:space="preserve"> </w:t>
      </w:r>
      <w:r>
        <w:rPr>
          <w:rFonts w:cs="Arial"/>
          <w:color w:val="000000"/>
          <w:sz w:val="16"/>
          <w:szCs w:val="16"/>
          <w:lang w:eastAsia="en-AU"/>
        </w:rPr>
        <w:tab/>
      </w:r>
      <w:r w:rsidRPr="00921650">
        <w:rPr>
          <w:rFonts w:cs="Arial"/>
          <w:color w:val="000000"/>
          <w:sz w:val="16"/>
          <w:szCs w:val="16"/>
          <w:lang w:eastAsia="en-AU"/>
        </w:rPr>
        <w:t>There is no requirement to order a termination under this part. The termination is an outcome of an agreement approved under</w:t>
      </w:r>
      <w:r>
        <w:rPr>
          <w:rFonts w:cs="Arial"/>
          <w:color w:val="000000"/>
          <w:sz w:val="16"/>
          <w:szCs w:val="16"/>
          <w:lang w:eastAsia="en-AU"/>
        </w:rPr>
        <w:t> </w:t>
      </w:r>
      <w:r w:rsidRPr="00921650">
        <w:rPr>
          <w:rFonts w:cs="Arial"/>
          <w:color w:val="000000"/>
          <w:sz w:val="16"/>
          <w:szCs w:val="16"/>
          <w:lang w:eastAsia="en-AU"/>
        </w:rPr>
        <w:t>s</w:t>
      </w:r>
      <w:r>
        <w:rPr>
          <w:rFonts w:cs="Arial"/>
          <w:color w:val="000000"/>
          <w:sz w:val="16"/>
          <w:szCs w:val="16"/>
          <w:lang w:eastAsia="en-AU"/>
        </w:rPr>
        <w:t>.</w:t>
      </w:r>
      <w:r w:rsidRPr="00921650">
        <w:rPr>
          <w:rFonts w:cs="Arial"/>
          <w:color w:val="000000"/>
          <w:sz w:val="16"/>
          <w:szCs w:val="16"/>
          <w:lang w:eastAsia="en-AU"/>
        </w:rPr>
        <w:t>185.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33864" w14:textId="77777777" w:rsidR="00074F1C" w:rsidRDefault="00074F1C" w:rsidP="001C637A">
    <w:pPr>
      <w:rPr>
        <w:sz w:val="16"/>
        <w:szCs w:val="16"/>
      </w:rPr>
    </w:pPr>
  </w:p>
  <w:p w14:paraId="07B743C0" w14:textId="77777777" w:rsidR="00074F1C" w:rsidRDefault="00074F1C" w:rsidP="001C637A"/>
  <w:p w14:paraId="1CAED40D" w14:textId="77777777" w:rsidR="00074F1C" w:rsidRPr="00DD2BB4" w:rsidRDefault="00074F1C" w:rsidP="00D6613E">
    <w:pPr>
      <w:tabs>
        <w:tab w:val="right" w:pos="9070"/>
      </w:tabs>
      <w:spacing w:before="800" w:after="120"/>
      <w:rPr>
        <w:sz w:val="40"/>
        <w:szCs w:val="40"/>
        <w:lang w:val="en-AU"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F6D0D0" wp14:editId="2F4CD320">
              <wp:simplePos x="0" y="0"/>
              <wp:positionH relativeFrom="column">
                <wp:posOffset>1270</wp:posOffset>
              </wp:positionH>
              <wp:positionV relativeFrom="paragraph">
                <wp:posOffset>687705</wp:posOffset>
              </wp:positionV>
              <wp:extent cx="4608195" cy="0"/>
              <wp:effectExtent l="0" t="0" r="0" b="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81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4D76C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1pt;margin-top:54.15pt;width:36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"/>
          </w:pict>
        </mc:Fallback>
      </mc:AlternateContent>
    </w:r>
    <w:r>
      <w:rPr>
        <w:color w:val="000000" w:themeColor="text1"/>
        <w:sz w:val="40"/>
        <w:szCs w:val="40"/>
      </w:rPr>
      <w:t>Quarterly report</w:t>
    </w:r>
    <w:r w:rsidRPr="00DD2BB4">
      <w:rPr>
        <w:noProof/>
        <w:sz w:val="40"/>
        <w:szCs w:val="40"/>
        <w:lang w:val="en-AU" w:eastAsia="en-AU"/>
      </w:rPr>
      <w:drawing>
        <wp:anchor distT="0" distB="0" distL="114300" distR="114300" simplePos="0" relativeHeight="251663360" behindDoc="1" locked="0" layoutInCell="1" allowOverlap="1" wp14:anchorId="7D540C0B" wp14:editId="1C5F0C2B">
          <wp:simplePos x="0" y="0"/>
          <wp:positionH relativeFrom="column">
            <wp:posOffset>4786323</wp:posOffset>
          </wp:positionH>
          <wp:positionV relativeFrom="paragraph">
            <wp:posOffset>-647262</wp:posOffset>
          </wp:positionV>
          <wp:extent cx="1343025" cy="1332186"/>
          <wp:effectExtent l="19050" t="19050" r="9525" b="20364"/>
          <wp:wrapTight wrapText="bothSides">
            <wp:wrapPolygon edited="0">
              <wp:start x="-306" y="-309"/>
              <wp:lineTo x="-306" y="21930"/>
              <wp:lineTo x="21753" y="21930"/>
              <wp:lineTo x="21753" y="-309"/>
              <wp:lineTo x="-306" y="-309"/>
            </wp:wrapPolygon>
          </wp:wrapTight>
          <wp:docPr id="3" name="Picture 3" descr="Blue FWC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FWC logo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F59C1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12CA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93F69"/>
    <w:multiLevelType w:val="hybridMultilevel"/>
    <w:tmpl w:val="4224BE58"/>
    <w:lvl w:ilvl="0" w:tplc="B182570C">
      <w:start w:val="1"/>
      <w:numFmt w:val="bullet"/>
      <w:pStyle w:val="List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D72A5C4">
      <w:start w:val="1"/>
      <w:numFmt w:val="bullet"/>
      <w:lvlText w:val="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5FB9"/>
    <w:multiLevelType w:val="hybridMultilevel"/>
    <w:tmpl w:val="833888CC"/>
    <w:lvl w:ilvl="0" w:tplc="8626F208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551E7"/>
    <w:multiLevelType w:val="hybridMultilevel"/>
    <w:tmpl w:val="69D6CBB6"/>
    <w:lvl w:ilvl="0" w:tplc="E4DA272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4097">
      <o:colormru v:ext="edit" colors="#872434,#b2b2b2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4E"/>
    <w:rsid w:val="000002A1"/>
    <w:rsid w:val="00000CEA"/>
    <w:rsid w:val="0000519A"/>
    <w:rsid w:val="00006D83"/>
    <w:rsid w:val="0001247E"/>
    <w:rsid w:val="000162F6"/>
    <w:rsid w:val="000218C2"/>
    <w:rsid w:val="00024B91"/>
    <w:rsid w:val="00024D5D"/>
    <w:rsid w:val="0002522B"/>
    <w:rsid w:val="000259A8"/>
    <w:rsid w:val="000259E7"/>
    <w:rsid w:val="00027A58"/>
    <w:rsid w:val="0003298D"/>
    <w:rsid w:val="000330F2"/>
    <w:rsid w:val="00034B1A"/>
    <w:rsid w:val="0003765E"/>
    <w:rsid w:val="0005053F"/>
    <w:rsid w:val="00055FBC"/>
    <w:rsid w:val="0006706D"/>
    <w:rsid w:val="000727FC"/>
    <w:rsid w:val="0007410C"/>
    <w:rsid w:val="00074F1C"/>
    <w:rsid w:val="000842A7"/>
    <w:rsid w:val="000865AA"/>
    <w:rsid w:val="000918A6"/>
    <w:rsid w:val="000940F1"/>
    <w:rsid w:val="000A0BFE"/>
    <w:rsid w:val="000A0D9A"/>
    <w:rsid w:val="000A1D4B"/>
    <w:rsid w:val="000A3C27"/>
    <w:rsid w:val="000A5C4C"/>
    <w:rsid w:val="000A7D5A"/>
    <w:rsid w:val="000B1AAF"/>
    <w:rsid w:val="000B6D00"/>
    <w:rsid w:val="000B6F31"/>
    <w:rsid w:val="000B765F"/>
    <w:rsid w:val="000C4144"/>
    <w:rsid w:val="000C49B7"/>
    <w:rsid w:val="000C6D06"/>
    <w:rsid w:val="000C7281"/>
    <w:rsid w:val="000D14EE"/>
    <w:rsid w:val="000D1E78"/>
    <w:rsid w:val="000D2F34"/>
    <w:rsid w:val="000D3335"/>
    <w:rsid w:val="000D52C2"/>
    <w:rsid w:val="000D5564"/>
    <w:rsid w:val="000D55B8"/>
    <w:rsid w:val="000D6327"/>
    <w:rsid w:val="000D7140"/>
    <w:rsid w:val="000E063E"/>
    <w:rsid w:val="000E4C69"/>
    <w:rsid w:val="000E5D74"/>
    <w:rsid w:val="000E670C"/>
    <w:rsid w:val="000F0672"/>
    <w:rsid w:val="000F3CD2"/>
    <w:rsid w:val="00107839"/>
    <w:rsid w:val="00107DC2"/>
    <w:rsid w:val="00111FA5"/>
    <w:rsid w:val="001126DA"/>
    <w:rsid w:val="001144D3"/>
    <w:rsid w:val="00116221"/>
    <w:rsid w:val="00116B49"/>
    <w:rsid w:val="0011739F"/>
    <w:rsid w:val="00120008"/>
    <w:rsid w:val="001311EF"/>
    <w:rsid w:val="001343C5"/>
    <w:rsid w:val="001368CB"/>
    <w:rsid w:val="00140D67"/>
    <w:rsid w:val="0014315F"/>
    <w:rsid w:val="0014610D"/>
    <w:rsid w:val="00153165"/>
    <w:rsid w:val="00154E3E"/>
    <w:rsid w:val="00157A86"/>
    <w:rsid w:val="00161248"/>
    <w:rsid w:val="00165856"/>
    <w:rsid w:val="00170A52"/>
    <w:rsid w:val="00170B2C"/>
    <w:rsid w:val="00171870"/>
    <w:rsid w:val="00171ED8"/>
    <w:rsid w:val="001778EF"/>
    <w:rsid w:val="00184B41"/>
    <w:rsid w:val="00194628"/>
    <w:rsid w:val="00195CED"/>
    <w:rsid w:val="00196A25"/>
    <w:rsid w:val="001974B5"/>
    <w:rsid w:val="001A062B"/>
    <w:rsid w:val="001A3F88"/>
    <w:rsid w:val="001A50A7"/>
    <w:rsid w:val="001A6EA6"/>
    <w:rsid w:val="001A72B7"/>
    <w:rsid w:val="001B2DA8"/>
    <w:rsid w:val="001B6256"/>
    <w:rsid w:val="001C637A"/>
    <w:rsid w:val="001C777E"/>
    <w:rsid w:val="001D1141"/>
    <w:rsid w:val="001D1A10"/>
    <w:rsid w:val="001D415A"/>
    <w:rsid w:val="001D6488"/>
    <w:rsid w:val="001E57F2"/>
    <w:rsid w:val="001E7263"/>
    <w:rsid w:val="001E79D9"/>
    <w:rsid w:val="001F278C"/>
    <w:rsid w:val="001F3865"/>
    <w:rsid w:val="001F6767"/>
    <w:rsid w:val="001F766D"/>
    <w:rsid w:val="00200D92"/>
    <w:rsid w:val="00203776"/>
    <w:rsid w:val="0020404E"/>
    <w:rsid w:val="0020672C"/>
    <w:rsid w:val="002070B4"/>
    <w:rsid w:val="00210C11"/>
    <w:rsid w:val="00221E78"/>
    <w:rsid w:val="00225B06"/>
    <w:rsid w:val="00225F8B"/>
    <w:rsid w:val="00227F0E"/>
    <w:rsid w:val="0023350F"/>
    <w:rsid w:val="0024036A"/>
    <w:rsid w:val="00243628"/>
    <w:rsid w:val="00243C8D"/>
    <w:rsid w:val="00247312"/>
    <w:rsid w:val="0026344D"/>
    <w:rsid w:val="0026359D"/>
    <w:rsid w:val="00264F7E"/>
    <w:rsid w:val="002676CE"/>
    <w:rsid w:val="002707B9"/>
    <w:rsid w:val="00276856"/>
    <w:rsid w:val="00277767"/>
    <w:rsid w:val="00277BE6"/>
    <w:rsid w:val="0028256E"/>
    <w:rsid w:val="00294CF5"/>
    <w:rsid w:val="002950B3"/>
    <w:rsid w:val="0029684D"/>
    <w:rsid w:val="002A02C4"/>
    <w:rsid w:val="002A2425"/>
    <w:rsid w:val="002A2853"/>
    <w:rsid w:val="002A3EC2"/>
    <w:rsid w:val="002B10DE"/>
    <w:rsid w:val="002B7272"/>
    <w:rsid w:val="002C0649"/>
    <w:rsid w:val="002C0794"/>
    <w:rsid w:val="002C0FE9"/>
    <w:rsid w:val="002C1257"/>
    <w:rsid w:val="002C1358"/>
    <w:rsid w:val="002C3BD8"/>
    <w:rsid w:val="002C4707"/>
    <w:rsid w:val="002C6B18"/>
    <w:rsid w:val="002D05F3"/>
    <w:rsid w:val="002D155F"/>
    <w:rsid w:val="002D2B5D"/>
    <w:rsid w:val="002D5539"/>
    <w:rsid w:val="002D5F71"/>
    <w:rsid w:val="002D726B"/>
    <w:rsid w:val="002E0652"/>
    <w:rsid w:val="002E69E7"/>
    <w:rsid w:val="002F0347"/>
    <w:rsid w:val="002F0489"/>
    <w:rsid w:val="002F2875"/>
    <w:rsid w:val="00302241"/>
    <w:rsid w:val="003100C9"/>
    <w:rsid w:val="00310BD3"/>
    <w:rsid w:val="00311828"/>
    <w:rsid w:val="00322C00"/>
    <w:rsid w:val="00326C78"/>
    <w:rsid w:val="00327545"/>
    <w:rsid w:val="0033502A"/>
    <w:rsid w:val="0033681F"/>
    <w:rsid w:val="0034037C"/>
    <w:rsid w:val="003441EB"/>
    <w:rsid w:val="003451A2"/>
    <w:rsid w:val="003458CC"/>
    <w:rsid w:val="003505E2"/>
    <w:rsid w:val="003514DE"/>
    <w:rsid w:val="00360776"/>
    <w:rsid w:val="00363464"/>
    <w:rsid w:val="0036414D"/>
    <w:rsid w:val="00386E6E"/>
    <w:rsid w:val="003A29C3"/>
    <w:rsid w:val="003A30EE"/>
    <w:rsid w:val="003A4052"/>
    <w:rsid w:val="003B1B9D"/>
    <w:rsid w:val="003B2555"/>
    <w:rsid w:val="003B7429"/>
    <w:rsid w:val="003C2E0C"/>
    <w:rsid w:val="003D0BEF"/>
    <w:rsid w:val="003D1345"/>
    <w:rsid w:val="003D1652"/>
    <w:rsid w:val="003D25FA"/>
    <w:rsid w:val="003D2D64"/>
    <w:rsid w:val="003D6D3F"/>
    <w:rsid w:val="003D7CD4"/>
    <w:rsid w:val="003E2B9A"/>
    <w:rsid w:val="003E4EAA"/>
    <w:rsid w:val="003F1516"/>
    <w:rsid w:val="004017EB"/>
    <w:rsid w:val="00403F25"/>
    <w:rsid w:val="0040656E"/>
    <w:rsid w:val="00406C66"/>
    <w:rsid w:val="004129FC"/>
    <w:rsid w:val="004178DB"/>
    <w:rsid w:val="00420C8F"/>
    <w:rsid w:val="0042194D"/>
    <w:rsid w:val="004235EF"/>
    <w:rsid w:val="00424FA7"/>
    <w:rsid w:val="00426076"/>
    <w:rsid w:val="004273D2"/>
    <w:rsid w:val="0043048D"/>
    <w:rsid w:val="00441AAE"/>
    <w:rsid w:val="004421A3"/>
    <w:rsid w:val="00443813"/>
    <w:rsid w:val="00444A5D"/>
    <w:rsid w:val="0045154F"/>
    <w:rsid w:val="00451824"/>
    <w:rsid w:val="00454115"/>
    <w:rsid w:val="00456DE1"/>
    <w:rsid w:val="0046009F"/>
    <w:rsid w:val="00460282"/>
    <w:rsid w:val="00461188"/>
    <w:rsid w:val="00461E51"/>
    <w:rsid w:val="00463C81"/>
    <w:rsid w:val="00463E55"/>
    <w:rsid w:val="00470D98"/>
    <w:rsid w:val="004741B1"/>
    <w:rsid w:val="00483025"/>
    <w:rsid w:val="0048453F"/>
    <w:rsid w:val="00491674"/>
    <w:rsid w:val="00492730"/>
    <w:rsid w:val="004928E5"/>
    <w:rsid w:val="00493AED"/>
    <w:rsid w:val="00495DFF"/>
    <w:rsid w:val="004A409A"/>
    <w:rsid w:val="004A4FDD"/>
    <w:rsid w:val="004A6CF6"/>
    <w:rsid w:val="004A7354"/>
    <w:rsid w:val="004B0016"/>
    <w:rsid w:val="004B6573"/>
    <w:rsid w:val="004B723B"/>
    <w:rsid w:val="004C2652"/>
    <w:rsid w:val="004C3B62"/>
    <w:rsid w:val="004C65C6"/>
    <w:rsid w:val="004C699D"/>
    <w:rsid w:val="004D23A6"/>
    <w:rsid w:val="004D2F69"/>
    <w:rsid w:val="004D3D63"/>
    <w:rsid w:val="004D3DF1"/>
    <w:rsid w:val="004E30EE"/>
    <w:rsid w:val="004E480D"/>
    <w:rsid w:val="004F1C70"/>
    <w:rsid w:val="004F49DD"/>
    <w:rsid w:val="0050299D"/>
    <w:rsid w:val="005032CE"/>
    <w:rsid w:val="00505E7D"/>
    <w:rsid w:val="00513CB9"/>
    <w:rsid w:val="0052093A"/>
    <w:rsid w:val="00522E17"/>
    <w:rsid w:val="00523021"/>
    <w:rsid w:val="00526153"/>
    <w:rsid w:val="005261F2"/>
    <w:rsid w:val="0052680E"/>
    <w:rsid w:val="00526FAB"/>
    <w:rsid w:val="0053184C"/>
    <w:rsid w:val="005365CD"/>
    <w:rsid w:val="0054623E"/>
    <w:rsid w:val="005528BA"/>
    <w:rsid w:val="00555EB1"/>
    <w:rsid w:val="00556D61"/>
    <w:rsid w:val="00560133"/>
    <w:rsid w:val="00560C4B"/>
    <w:rsid w:val="00562E8C"/>
    <w:rsid w:val="00563DF9"/>
    <w:rsid w:val="00565C01"/>
    <w:rsid w:val="00571BAD"/>
    <w:rsid w:val="00581D48"/>
    <w:rsid w:val="0058482A"/>
    <w:rsid w:val="00590EDB"/>
    <w:rsid w:val="005A6365"/>
    <w:rsid w:val="005A712E"/>
    <w:rsid w:val="005B171E"/>
    <w:rsid w:val="005B378B"/>
    <w:rsid w:val="005C0FE0"/>
    <w:rsid w:val="005C2C4B"/>
    <w:rsid w:val="005C4C02"/>
    <w:rsid w:val="005C6228"/>
    <w:rsid w:val="005D6987"/>
    <w:rsid w:val="005E7CB3"/>
    <w:rsid w:val="005F07F1"/>
    <w:rsid w:val="005F3927"/>
    <w:rsid w:val="005F73C0"/>
    <w:rsid w:val="00600D4D"/>
    <w:rsid w:val="00606400"/>
    <w:rsid w:val="00610D85"/>
    <w:rsid w:val="00613C58"/>
    <w:rsid w:val="00616901"/>
    <w:rsid w:val="00623949"/>
    <w:rsid w:val="00624E4B"/>
    <w:rsid w:val="006278F8"/>
    <w:rsid w:val="0064234F"/>
    <w:rsid w:val="0064240A"/>
    <w:rsid w:val="006428D4"/>
    <w:rsid w:val="00645A05"/>
    <w:rsid w:val="00646CA4"/>
    <w:rsid w:val="006550EB"/>
    <w:rsid w:val="00656965"/>
    <w:rsid w:val="00656D2A"/>
    <w:rsid w:val="00666B30"/>
    <w:rsid w:val="00671A95"/>
    <w:rsid w:val="00671E05"/>
    <w:rsid w:val="0067651B"/>
    <w:rsid w:val="00680904"/>
    <w:rsid w:val="00682013"/>
    <w:rsid w:val="00685A6D"/>
    <w:rsid w:val="006908B4"/>
    <w:rsid w:val="006928D3"/>
    <w:rsid w:val="00695843"/>
    <w:rsid w:val="006A6BD9"/>
    <w:rsid w:val="006B08D0"/>
    <w:rsid w:val="006B26F1"/>
    <w:rsid w:val="006B2C3E"/>
    <w:rsid w:val="006C4E67"/>
    <w:rsid w:val="006C5E01"/>
    <w:rsid w:val="006D20BF"/>
    <w:rsid w:val="006D20C5"/>
    <w:rsid w:val="006D2DB8"/>
    <w:rsid w:val="006D594C"/>
    <w:rsid w:val="006D6410"/>
    <w:rsid w:val="006E3D71"/>
    <w:rsid w:val="006E6C6C"/>
    <w:rsid w:val="006E7027"/>
    <w:rsid w:val="007011F3"/>
    <w:rsid w:val="007066AA"/>
    <w:rsid w:val="00711CD1"/>
    <w:rsid w:val="00712243"/>
    <w:rsid w:val="00712DF0"/>
    <w:rsid w:val="00713BD2"/>
    <w:rsid w:val="00713C99"/>
    <w:rsid w:val="00715D71"/>
    <w:rsid w:val="0071668E"/>
    <w:rsid w:val="00722E6E"/>
    <w:rsid w:val="007307BC"/>
    <w:rsid w:val="0073357F"/>
    <w:rsid w:val="00735D1E"/>
    <w:rsid w:val="00741B23"/>
    <w:rsid w:val="00754E4B"/>
    <w:rsid w:val="00760C2B"/>
    <w:rsid w:val="00766AB0"/>
    <w:rsid w:val="00770B51"/>
    <w:rsid w:val="0077142D"/>
    <w:rsid w:val="007739C1"/>
    <w:rsid w:val="00773FE6"/>
    <w:rsid w:val="007832C2"/>
    <w:rsid w:val="0078713A"/>
    <w:rsid w:val="00795BFF"/>
    <w:rsid w:val="007A4839"/>
    <w:rsid w:val="007A627D"/>
    <w:rsid w:val="007B3BA6"/>
    <w:rsid w:val="007C0A46"/>
    <w:rsid w:val="007C1C99"/>
    <w:rsid w:val="007C38FD"/>
    <w:rsid w:val="007D750C"/>
    <w:rsid w:val="007E00FA"/>
    <w:rsid w:val="007E559F"/>
    <w:rsid w:val="007F7B67"/>
    <w:rsid w:val="00803D15"/>
    <w:rsid w:val="008054A5"/>
    <w:rsid w:val="00806B6B"/>
    <w:rsid w:val="00810A6E"/>
    <w:rsid w:val="0081327B"/>
    <w:rsid w:val="00821B9A"/>
    <w:rsid w:val="00823925"/>
    <w:rsid w:val="008307FA"/>
    <w:rsid w:val="0083484B"/>
    <w:rsid w:val="00850F44"/>
    <w:rsid w:val="00853539"/>
    <w:rsid w:val="00857111"/>
    <w:rsid w:val="008576A2"/>
    <w:rsid w:val="00861A6D"/>
    <w:rsid w:val="00862187"/>
    <w:rsid w:val="0086281E"/>
    <w:rsid w:val="00862A73"/>
    <w:rsid w:val="00862DB2"/>
    <w:rsid w:val="0087163D"/>
    <w:rsid w:val="00873995"/>
    <w:rsid w:val="00873D6C"/>
    <w:rsid w:val="008764E5"/>
    <w:rsid w:val="00876B75"/>
    <w:rsid w:val="00877EBB"/>
    <w:rsid w:val="00877F9A"/>
    <w:rsid w:val="00881A72"/>
    <w:rsid w:val="0088261E"/>
    <w:rsid w:val="0088678E"/>
    <w:rsid w:val="00887B2B"/>
    <w:rsid w:val="00890F79"/>
    <w:rsid w:val="008930FA"/>
    <w:rsid w:val="00893B74"/>
    <w:rsid w:val="008A68F8"/>
    <w:rsid w:val="008A7A10"/>
    <w:rsid w:val="008B449F"/>
    <w:rsid w:val="008B5DC1"/>
    <w:rsid w:val="008B60A8"/>
    <w:rsid w:val="008C0959"/>
    <w:rsid w:val="008C20DF"/>
    <w:rsid w:val="008C339C"/>
    <w:rsid w:val="008C33EE"/>
    <w:rsid w:val="008C53AC"/>
    <w:rsid w:val="008C702F"/>
    <w:rsid w:val="008D23A0"/>
    <w:rsid w:val="008D46D2"/>
    <w:rsid w:val="008D6759"/>
    <w:rsid w:val="008E1D4C"/>
    <w:rsid w:val="008E4548"/>
    <w:rsid w:val="008E62D8"/>
    <w:rsid w:val="008F7C21"/>
    <w:rsid w:val="00914D77"/>
    <w:rsid w:val="00921650"/>
    <w:rsid w:val="009235C0"/>
    <w:rsid w:val="009239DE"/>
    <w:rsid w:val="00927C6D"/>
    <w:rsid w:val="0093195E"/>
    <w:rsid w:val="00934FBD"/>
    <w:rsid w:val="00942937"/>
    <w:rsid w:val="009432D9"/>
    <w:rsid w:val="00944331"/>
    <w:rsid w:val="00950E5F"/>
    <w:rsid w:val="00955F0D"/>
    <w:rsid w:val="00966371"/>
    <w:rsid w:val="00976966"/>
    <w:rsid w:val="00976CBC"/>
    <w:rsid w:val="009829CE"/>
    <w:rsid w:val="009911D0"/>
    <w:rsid w:val="009A7AB8"/>
    <w:rsid w:val="009B2FF1"/>
    <w:rsid w:val="009B467E"/>
    <w:rsid w:val="009C0900"/>
    <w:rsid w:val="009C097A"/>
    <w:rsid w:val="009C1F49"/>
    <w:rsid w:val="009C3974"/>
    <w:rsid w:val="009D08F1"/>
    <w:rsid w:val="009D3BCA"/>
    <w:rsid w:val="009D799C"/>
    <w:rsid w:val="009F09E9"/>
    <w:rsid w:val="009F741C"/>
    <w:rsid w:val="00A0069D"/>
    <w:rsid w:val="00A0238C"/>
    <w:rsid w:val="00A027B9"/>
    <w:rsid w:val="00A030FA"/>
    <w:rsid w:val="00A0773F"/>
    <w:rsid w:val="00A121EE"/>
    <w:rsid w:val="00A12E62"/>
    <w:rsid w:val="00A24337"/>
    <w:rsid w:val="00A30891"/>
    <w:rsid w:val="00A30D80"/>
    <w:rsid w:val="00A30F46"/>
    <w:rsid w:val="00A3644E"/>
    <w:rsid w:val="00A42E20"/>
    <w:rsid w:val="00A448F0"/>
    <w:rsid w:val="00A51BC5"/>
    <w:rsid w:val="00A55F0D"/>
    <w:rsid w:val="00A56796"/>
    <w:rsid w:val="00A664AB"/>
    <w:rsid w:val="00A70A39"/>
    <w:rsid w:val="00A70DAB"/>
    <w:rsid w:val="00A76DDF"/>
    <w:rsid w:val="00A802AE"/>
    <w:rsid w:val="00A808E4"/>
    <w:rsid w:val="00A85A78"/>
    <w:rsid w:val="00A87329"/>
    <w:rsid w:val="00A87A54"/>
    <w:rsid w:val="00A90276"/>
    <w:rsid w:val="00A921C1"/>
    <w:rsid w:val="00A92468"/>
    <w:rsid w:val="00A929AE"/>
    <w:rsid w:val="00A9328F"/>
    <w:rsid w:val="00A95EA6"/>
    <w:rsid w:val="00AA13AF"/>
    <w:rsid w:val="00AA15AC"/>
    <w:rsid w:val="00AA1D29"/>
    <w:rsid w:val="00AA3235"/>
    <w:rsid w:val="00AB0344"/>
    <w:rsid w:val="00AB0855"/>
    <w:rsid w:val="00AB6A50"/>
    <w:rsid w:val="00AC4E6E"/>
    <w:rsid w:val="00AC6795"/>
    <w:rsid w:val="00AC74C9"/>
    <w:rsid w:val="00AE0322"/>
    <w:rsid w:val="00AE08E1"/>
    <w:rsid w:val="00AE1E55"/>
    <w:rsid w:val="00AE2F88"/>
    <w:rsid w:val="00AF27B7"/>
    <w:rsid w:val="00B01712"/>
    <w:rsid w:val="00B11083"/>
    <w:rsid w:val="00B11A7E"/>
    <w:rsid w:val="00B12DCE"/>
    <w:rsid w:val="00B23C14"/>
    <w:rsid w:val="00B32F0D"/>
    <w:rsid w:val="00B35142"/>
    <w:rsid w:val="00B35346"/>
    <w:rsid w:val="00B35C59"/>
    <w:rsid w:val="00B377BB"/>
    <w:rsid w:val="00B461F4"/>
    <w:rsid w:val="00B64A23"/>
    <w:rsid w:val="00B657F0"/>
    <w:rsid w:val="00B66851"/>
    <w:rsid w:val="00B72F78"/>
    <w:rsid w:val="00B74701"/>
    <w:rsid w:val="00B75DB0"/>
    <w:rsid w:val="00B820AE"/>
    <w:rsid w:val="00B82B75"/>
    <w:rsid w:val="00BA39BF"/>
    <w:rsid w:val="00BA63EB"/>
    <w:rsid w:val="00BA6507"/>
    <w:rsid w:val="00BA6636"/>
    <w:rsid w:val="00BB22D2"/>
    <w:rsid w:val="00BB337A"/>
    <w:rsid w:val="00BB3638"/>
    <w:rsid w:val="00BB4320"/>
    <w:rsid w:val="00BC1FDE"/>
    <w:rsid w:val="00BC330E"/>
    <w:rsid w:val="00BC716B"/>
    <w:rsid w:val="00BD4444"/>
    <w:rsid w:val="00BE0DF2"/>
    <w:rsid w:val="00BE1F89"/>
    <w:rsid w:val="00BE2296"/>
    <w:rsid w:val="00BE4953"/>
    <w:rsid w:val="00BE6B32"/>
    <w:rsid w:val="00C0096B"/>
    <w:rsid w:val="00C02126"/>
    <w:rsid w:val="00C052FD"/>
    <w:rsid w:val="00C10374"/>
    <w:rsid w:val="00C12DF5"/>
    <w:rsid w:val="00C157A0"/>
    <w:rsid w:val="00C1728A"/>
    <w:rsid w:val="00C21555"/>
    <w:rsid w:val="00C22C34"/>
    <w:rsid w:val="00C2403C"/>
    <w:rsid w:val="00C25DE4"/>
    <w:rsid w:val="00C26D6B"/>
    <w:rsid w:val="00C31D3F"/>
    <w:rsid w:val="00C358C8"/>
    <w:rsid w:val="00C37FC9"/>
    <w:rsid w:val="00C431A1"/>
    <w:rsid w:val="00C47995"/>
    <w:rsid w:val="00C60EA9"/>
    <w:rsid w:val="00C6476D"/>
    <w:rsid w:val="00C647EB"/>
    <w:rsid w:val="00C72C6E"/>
    <w:rsid w:val="00C7572C"/>
    <w:rsid w:val="00C815AF"/>
    <w:rsid w:val="00C83BE9"/>
    <w:rsid w:val="00C8402D"/>
    <w:rsid w:val="00C87C1A"/>
    <w:rsid w:val="00C90558"/>
    <w:rsid w:val="00C90AB7"/>
    <w:rsid w:val="00C938A5"/>
    <w:rsid w:val="00C93950"/>
    <w:rsid w:val="00C96E59"/>
    <w:rsid w:val="00CA5D58"/>
    <w:rsid w:val="00CA60BD"/>
    <w:rsid w:val="00CA6537"/>
    <w:rsid w:val="00CA6734"/>
    <w:rsid w:val="00CA79DE"/>
    <w:rsid w:val="00CC7618"/>
    <w:rsid w:val="00CC796C"/>
    <w:rsid w:val="00CD2078"/>
    <w:rsid w:val="00CD27E8"/>
    <w:rsid w:val="00CE209F"/>
    <w:rsid w:val="00CE4B2A"/>
    <w:rsid w:val="00CF56A3"/>
    <w:rsid w:val="00D16239"/>
    <w:rsid w:val="00D22572"/>
    <w:rsid w:val="00D24492"/>
    <w:rsid w:val="00D257B4"/>
    <w:rsid w:val="00D259F5"/>
    <w:rsid w:val="00D265CC"/>
    <w:rsid w:val="00D36DA0"/>
    <w:rsid w:val="00D37285"/>
    <w:rsid w:val="00D42452"/>
    <w:rsid w:val="00D5045C"/>
    <w:rsid w:val="00D53AAB"/>
    <w:rsid w:val="00D56F21"/>
    <w:rsid w:val="00D637B3"/>
    <w:rsid w:val="00D63EA9"/>
    <w:rsid w:val="00D6613E"/>
    <w:rsid w:val="00D74657"/>
    <w:rsid w:val="00D82EE1"/>
    <w:rsid w:val="00DA118B"/>
    <w:rsid w:val="00DA21F8"/>
    <w:rsid w:val="00DB0181"/>
    <w:rsid w:val="00DB60A2"/>
    <w:rsid w:val="00DC20EC"/>
    <w:rsid w:val="00DC4C43"/>
    <w:rsid w:val="00DC63AF"/>
    <w:rsid w:val="00DD2BB4"/>
    <w:rsid w:val="00DD733E"/>
    <w:rsid w:val="00DE17B5"/>
    <w:rsid w:val="00DE3D93"/>
    <w:rsid w:val="00DE3EB9"/>
    <w:rsid w:val="00DE45FA"/>
    <w:rsid w:val="00DE5C3F"/>
    <w:rsid w:val="00DE7C11"/>
    <w:rsid w:val="00DF6370"/>
    <w:rsid w:val="00E01AF5"/>
    <w:rsid w:val="00E16335"/>
    <w:rsid w:val="00E16A6C"/>
    <w:rsid w:val="00E173FE"/>
    <w:rsid w:val="00E202AA"/>
    <w:rsid w:val="00E20391"/>
    <w:rsid w:val="00E20400"/>
    <w:rsid w:val="00E24AB6"/>
    <w:rsid w:val="00E268F3"/>
    <w:rsid w:val="00E27069"/>
    <w:rsid w:val="00E30220"/>
    <w:rsid w:val="00E374EC"/>
    <w:rsid w:val="00E42388"/>
    <w:rsid w:val="00E535F5"/>
    <w:rsid w:val="00E7231E"/>
    <w:rsid w:val="00E72A3F"/>
    <w:rsid w:val="00E76F7E"/>
    <w:rsid w:val="00E810C6"/>
    <w:rsid w:val="00E82E15"/>
    <w:rsid w:val="00E86047"/>
    <w:rsid w:val="00E87D4F"/>
    <w:rsid w:val="00E90C64"/>
    <w:rsid w:val="00E9268B"/>
    <w:rsid w:val="00E9320B"/>
    <w:rsid w:val="00E96293"/>
    <w:rsid w:val="00E972A3"/>
    <w:rsid w:val="00EA2160"/>
    <w:rsid w:val="00EA2511"/>
    <w:rsid w:val="00EA2FB3"/>
    <w:rsid w:val="00EB076A"/>
    <w:rsid w:val="00EB2A63"/>
    <w:rsid w:val="00EB2D81"/>
    <w:rsid w:val="00EB643A"/>
    <w:rsid w:val="00EB66D5"/>
    <w:rsid w:val="00EB66EC"/>
    <w:rsid w:val="00EC3A23"/>
    <w:rsid w:val="00ED0803"/>
    <w:rsid w:val="00EE1AB6"/>
    <w:rsid w:val="00EE2D6F"/>
    <w:rsid w:val="00EE3B27"/>
    <w:rsid w:val="00EE3C13"/>
    <w:rsid w:val="00EF42A4"/>
    <w:rsid w:val="00EF55AC"/>
    <w:rsid w:val="00EF7C5A"/>
    <w:rsid w:val="00F029DC"/>
    <w:rsid w:val="00F05BA1"/>
    <w:rsid w:val="00F07068"/>
    <w:rsid w:val="00F14078"/>
    <w:rsid w:val="00F14DFF"/>
    <w:rsid w:val="00F1735D"/>
    <w:rsid w:val="00F25C1C"/>
    <w:rsid w:val="00F3373D"/>
    <w:rsid w:val="00F34174"/>
    <w:rsid w:val="00F34387"/>
    <w:rsid w:val="00F361F3"/>
    <w:rsid w:val="00F36947"/>
    <w:rsid w:val="00F41493"/>
    <w:rsid w:val="00F425CB"/>
    <w:rsid w:val="00F4384D"/>
    <w:rsid w:val="00F441FB"/>
    <w:rsid w:val="00F56064"/>
    <w:rsid w:val="00F6239A"/>
    <w:rsid w:val="00F63F6B"/>
    <w:rsid w:val="00F722F8"/>
    <w:rsid w:val="00F73612"/>
    <w:rsid w:val="00F770AB"/>
    <w:rsid w:val="00F85D91"/>
    <w:rsid w:val="00F87C98"/>
    <w:rsid w:val="00F9119E"/>
    <w:rsid w:val="00F92C22"/>
    <w:rsid w:val="00F92F0B"/>
    <w:rsid w:val="00F941CB"/>
    <w:rsid w:val="00F94530"/>
    <w:rsid w:val="00F974FB"/>
    <w:rsid w:val="00FA4F3F"/>
    <w:rsid w:val="00FA6B35"/>
    <w:rsid w:val="00FB1FF3"/>
    <w:rsid w:val="00FB2DF7"/>
    <w:rsid w:val="00FB4B98"/>
    <w:rsid w:val="00FB4C39"/>
    <w:rsid w:val="00FB544A"/>
    <w:rsid w:val="00FB7BC9"/>
    <w:rsid w:val="00FC24F6"/>
    <w:rsid w:val="00FC2C4C"/>
    <w:rsid w:val="00FC65A3"/>
    <w:rsid w:val="00FD2363"/>
    <w:rsid w:val="00FD423E"/>
    <w:rsid w:val="00FD4F7A"/>
    <w:rsid w:val="00FD6797"/>
    <w:rsid w:val="00FD79F6"/>
    <w:rsid w:val="00FE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872434,#b2b2b2,black"/>
    </o:shapedefaults>
    <o:shapelayout v:ext="edit">
      <o:idmap v:ext="edit" data="1"/>
    </o:shapelayout>
  </w:shapeDefaults>
  <w:decimalSymbol w:val="."/>
  <w:listSeparator w:val=","/>
  <w14:docId w14:val="65DF3A36"/>
  <w15:docId w15:val="{D9D593BC-30E2-4621-8248-413B1566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37A"/>
    <w:pPr>
      <w:tabs>
        <w:tab w:val="left" w:pos="567"/>
        <w:tab w:val="left" w:pos="1134"/>
      </w:tabs>
      <w:spacing w:after="240" w:line="240" w:lineRule="atLeast"/>
      <w:ind w:right="567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Document title"/>
    <w:basedOn w:val="Headline"/>
    <w:next w:val="Normal"/>
    <w:qFormat/>
    <w:rsid w:val="00F85D91"/>
    <w:pPr>
      <w:outlineLvl w:val="0"/>
    </w:pPr>
    <w:rPr>
      <w:rFonts w:cs="Arial"/>
      <w:color w:val="000000" w:themeColor="text1"/>
    </w:rPr>
  </w:style>
  <w:style w:type="paragraph" w:styleId="Heading2">
    <w:name w:val="heading 2"/>
    <w:basedOn w:val="Headline2"/>
    <w:next w:val="Normal"/>
    <w:rsid w:val="00F85D91"/>
    <w:pPr>
      <w:ind w:right="-286"/>
      <w:outlineLvl w:val="1"/>
    </w:pPr>
  </w:style>
  <w:style w:type="paragraph" w:styleId="Heading3">
    <w:name w:val="heading 3"/>
    <w:basedOn w:val="Normal"/>
    <w:next w:val="Normal"/>
    <w:rsid w:val="001F3865"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1F3865"/>
    <w:pPr>
      <w:keepNext/>
      <w:spacing w:after="120"/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nhideWhenUsed/>
    <w:qFormat/>
    <w:rsid w:val="001F3865"/>
    <w:pPr>
      <w:outlineLvl w:val="4"/>
    </w:pPr>
    <w:rPr>
      <w:i/>
    </w:rPr>
  </w:style>
  <w:style w:type="paragraph" w:styleId="Heading6">
    <w:name w:val="heading 6"/>
    <w:basedOn w:val="Heading5"/>
    <w:next w:val="Normal"/>
    <w:link w:val="Heading6Char"/>
    <w:unhideWhenUsed/>
    <w:qFormat/>
    <w:rsid w:val="001F3865"/>
    <w:pPr>
      <w:outlineLvl w:val="5"/>
    </w:pPr>
    <w:rPr>
      <w:b w:val="0"/>
    </w:rPr>
  </w:style>
  <w:style w:type="paragraph" w:styleId="Heading7">
    <w:name w:val="heading 7"/>
    <w:basedOn w:val="Normal"/>
    <w:next w:val="Normal"/>
    <w:link w:val="Heading7Char"/>
    <w:semiHidden/>
    <w:unhideWhenUsed/>
    <w:rsid w:val="001F38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3865"/>
    <w:rPr>
      <w:rFonts w:ascii="Arial" w:hAnsi="Arial"/>
      <w:b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1F3865"/>
    <w:rPr>
      <w:rFonts w:ascii="Arial" w:hAnsi="Arial"/>
      <w:b/>
      <w:i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F3865"/>
    <w:rPr>
      <w:rFonts w:ascii="Arial" w:hAnsi="Arial"/>
      <w:i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1F386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styleId="FollowedHyperlink">
    <w:name w:val="FollowedHyperlink"/>
    <w:basedOn w:val="DefaultParagraphFont"/>
    <w:rsid w:val="001F3865"/>
    <w:rPr>
      <w:rFonts w:ascii="Arial" w:hAnsi="Arial"/>
      <w:color w:val="1F497D"/>
      <w:sz w:val="20"/>
      <w:u w:val="single"/>
    </w:rPr>
  </w:style>
  <w:style w:type="paragraph" w:styleId="Footer">
    <w:name w:val="footer"/>
    <w:basedOn w:val="Normal"/>
    <w:link w:val="FooterChar"/>
    <w:uiPriority w:val="99"/>
    <w:rsid w:val="002D2B5D"/>
    <w:pPr>
      <w:tabs>
        <w:tab w:val="clear" w:pos="567"/>
        <w:tab w:val="clear" w:pos="1134"/>
        <w:tab w:val="center" w:pos="5103"/>
        <w:tab w:val="right" w:pos="9639"/>
        <w:tab w:val="center" w:pos="11340"/>
      </w:tabs>
    </w:pPr>
    <w:rPr>
      <w:noProof/>
      <w:sz w:val="16"/>
    </w:rPr>
  </w:style>
  <w:style w:type="paragraph" w:styleId="Header">
    <w:name w:val="header"/>
    <w:basedOn w:val="Normal"/>
    <w:link w:val="HeaderChar"/>
    <w:rsid w:val="001F3865"/>
    <w:pPr>
      <w:tabs>
        <w:tab w:val="clear" w:pos="567"/>
        <w:tab w:val="clear" w:pos="1134"/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3865"/>
    <w:rPr>
      <w:rFonts w:ascii="Arial" w:hAnsi="Arial"/>
      <w:szCs w:val="24"/>
      <w:lang w:val="en-US" w:eastAsia="en-US"/>
    </w:rPr>
  </w:style>
  <w:style w:type="paragraph" w:customStyle="1" w:styleId="ListBullet1">
    <w:name w:val="ListBullet1"/>
    <w:basedOn w:val="Normal"/>
    <w:qFormat/>
    <w:rsid w:val="00976966"/>
    <w:pPr>
      <w:numPr>
        <w:numId w:val="1"/>
      </w:numPr>
      <w:tabs>
        <w:tab w:val="clear" w:pos="1134"/>
        <w:tab w:val="left" w:pos="284"/>
      </w:tabs>
      <w:spacing w:before="120"/>
      <w:ind w:left="284" w:hanging="284"/>
      <w:outlineLvl w:val="0"/>
    </w:pPr>
    <w:rPr>
      <w:lang w:val="en-GB"/>
    </w:rPr>
  </w:style>
  <w:style w:type="paragraph" w:customStyle="1" w:styleId="NumberedList">
    <w:name w:val="Numbered List"/>
    <w:basedOn w:val="Normal"/>
    <w:rsid w:val="00A808E4"/>
    <w:pPr>
      <w:numPr>
        <w:numId w:val="2"/>
      </w:numPr>
      <w:tabs>
        <w:tab w:val="clear" w:pos="1134"/>
        <w:tab w:val="num" w:pos="284"/>
      </w:tabs>
      <w:spacing w:before="120"/>
      <w:ind w:left="284" w:hanging="284"/>
      <w:outlineLvl w:val="0"/>
    </w:pPr>
    <w:rPr>
      <w:lang w:val="en-GB"/>
    </w:rPr>
  </w:style>
  <w:style w:type="table" w:styleId="TableGrid">
    <w:name w:val="Table Grid"/>
    <w:basedOn w:val="TableNormal"/>
    <w:rsid w:val="006B10F7"/>
    <w:pPr>
      <w:tabs>
        <w:tab w:val="left" w:pos="567"/>
        <w:tab w:val="left" w:pos="1134"/>
      </w:tabs>
      <w:spacing w:after="240"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451412"/>
    <w:rPr>
      <w:sz w:val="16"/>
      <w:szCs w:val="16"/>
    </w:rPr>
  </w:style>
  <w:style w:type="paragraph" w:styleId="CommentText">
    <w:name w:val="annotation text"/>
    <w:basedOn w:val="Normal"/>
    <w:semiHidden/>
    <w:rsid w:val="0045141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451412"/>
    <w:rPr>
      <w:b/>
      <w:bCs/>
    </w:rPr>
  </w:style>
  <w:style w:type="paragraph" w:styleId="BalloonText">
    <w:name w:val="Balloon Text"/>
    <w:basedOn w:val="Normal"/>
    <w:semiHidden/>
    <w:rsid w:val="0045141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0096B"/>
    <w:pPr>
      <w:shd w:val="clear" w:color="auto" w:fill="000080"/>
    </w:pPr>
    <w:rPr>
      <w:rFonts w:ascii="Tahoma" w:hAnsi="Tahoma" w:cs="Tahoma"/>
      <w:szCs w:val="20"/>
    </w:rPr>
  </w:style>
  <w:style w:type="paragraph" w:customStyle="1" w:styleId="ListBullet2">
    <w:name w:val="ListBullet2"/>
    <w:basedOn w:val="ListBullet1"/>
    <w:qFormat/>
    <w:rsid w:val="00741B23"/>
    <w:pPr>
      <w:numPr>
        <w:numId w:val="3"/>
      </w:numPr>
      <w:spacing w:after="120"/>
      <w:ind w:left="568" w:hanging="284"/>
    </w:pPr>
  </w:style>
  <w:style w:type="character" w:customStyle="1" w:styleId="Links">
    <w:name w:val="Links"/>
    <w:basedOn w:val="DefaultParagraphFont"/>
    <w:uiPriority w:val="1"/>
    <w:qFormat/>
    <w:rsid w:val="00862187"/>
    <w:rPr>
      <w:rFonts w:ascii="Arial" w:hAnsi="Arial"/>
      <w:color w:val="183D75"/>
      <w:sz w:val="20"/>
      <w:u w:val="single"/>
    </w:rPr>
  </w:style>
  <w:style w:type="character" w:styleId="Hyperlink">
    <w:name w:val="Hyperlink"/>
    <w:basedOn w:val="DefaultParagraphFont"/>
    <w:rsid w:val="00F941CB"/>
    <w:rPr>
      <w:color w:val="365F91" w:themeColor="accent1" w:themeShade="BF"/>
      <w:u w:val="single"/>
    </w:rPr>
  </w:style>
  <w:style w:type="paragraph" w:customStyle="1" w:styleId="Headline">
    <w:name w:val="Headline"/>
    <w:basedOn w:val="Normal"/>
    <w:next w:val="Normal"/>
    <w:qFormat/>
    <w:rsid w:val="00EE1AB6"/>
    <w:pPr>
      <w:spacing w:before="120" w:after="800"/>
    </w:pPr>
    <w:rPr>
      <w:b/>
      <w:color w:val="872434"/>
      <w:sz w:val="30"/>
    </w:rPr>
  </w:style>
  <w:style w:type="paragraph" w:customStyle="1" w:styleId="Headline2">
    <w:name w:val="Headline 2"/>
    <w:basedOn w:val="Normal"/>
    <w:next w:val="Normal"/>
    <w:qFormat/>
    <w:rsid w:val="00EE1AB6"/>
    <w:pPr>
      <w:keepNext/>
      <w:spacing w:before="240" w:after="60"/>
    </w:pPr>
    <w:rPr>
      <w:b/>
      <w:sz w:val="24"/>
    </w:rPr>
  </w:style>
  <w:style w:type="paragraph" w:customStyle="1" w:styleId="Headline3">
    <w:name w:val="Headline 3"/>
    <w:basedOn w:val="Normal"/>
    <w:next w:val="Normal"/>
    <w:qFormat/>
    <w:rsid w:val="00EE1AB6"/>
    <w:pPr>
      <w:keepNext/>
      <w:spacing w:after="120"/>
    </w:pPr>
    <w:rPr>
      <w:b/>
    </w:rPr>
  </w:style>
  <w:style w:type="paragraph" w:styleId="FootnoteText">
    <w:name w:val="footnote text"/>
    <w:basedOn w:val="Normal"/>
    <w:link w:val="FootnoteTextChar"/>
    <w:rsid w:val="00EE1AB6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E1AB6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EE1AB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B4B98"/>
    <w:rPr>
      <w:rFonts w:ascii="Arial" w:hAnsi="Arial"/>
      <w:noProof/>
      <w:sz w:val="16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7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dr@fwc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F2009L0235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C2009A0002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w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regor\Desktop\ExternalGuid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33483894BAE9439E887E0AC051F15E" ma:contentTypeVersion="13" ma:contentTypeDescription="Create a new document." ma:contentTypeScope="" ma:versionID="d0e8293ead388c4735f348f467c38829">
  <xsd:schema xmlns:xsd="http://www.w3.org/2001/XMLSchema" xmlns:xs="http://www.w3.org/2001/XMLSchema" xmlns:p="http://schemas.microsoft.com/office/2006/metadata/properties" xmlns:ns2="503ad441-a1cf-496d-9f87-d4ee0157586f" xmlns:ns3="32155040-cca2-4149-b0f0-5902b39cc824" targetNamespace="http://schemas.microsoft.com/office/2006/metadata/properties" ma:root="true" ma:fieldsID="74a2c82372618a1227ebf482acf1f481" ns2:_="" ns3:_="">
    <xsd:import namespace="503ad441-a1cf-496d-9f87-d4ee0157586f"/>
    <xsd:import namespace="32155040-cca2-4149-b0f0-5902b39cc8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ad441-a1cf-496d-9f87-d4ee015758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55040-cca2-4149-b0f0-5902b39cc8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783E9-20AB-4BBB-BFE6-777786AC8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05AE4-121B-4BAE-99E8-ABFA84047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E1B29-6D3A-4CD1-AB15-FB15EE7B0201}">
  <ds:schemaRefs>
    <ds:schemaRef ds:uri="503ad441-a1cf-496d-9f87-d4ee0157586f"/>
    <ds:schemaRef ds:uri="http://schemas.microsoft.com/office/2006/documentManagement/types"/>
    <ds:schemaRef ds:uri="http://purl.org/dc/elements/1.1/"/>
    <ds:schemaRef ds:uri="http://schemas.microsoft.com/office/2006/metadata/properties"/>
    <ds:schemaRef ds:uri="32155040-cca2-4149-b0f0-5902b39cc82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2EEA593-1DC3-4F33-94DB-802DACEB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ad441-a1cf-496d-9f87-d4ee0157586f"/>
    <ds:schemaRef ds:uri="32155040-cca2-4149-b0f0-5902b39cc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ExternalGuideTemplate.dotx</Template>
  <TotalTime>19</TotalTime>
  <Pages>10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report: Report to the Minister</vt:lpstr>
    </vt:vector>
  </TitlesOfParts>
  <Company>Fair Work Australia</Company>
  <LinksUpToDate>false</LinksUpToDate>
  <CharactersWithSpaces>12671</CharactersWithSpaces>
  <SharedDoc>false</SharedDoc>
  <HLinks>
    <vt:vector size="6" baseType="variant">
      <vt:variant>
        <vt:i4>4456552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Settings\hughes\Local Settings\Local Settings\Temporary Internet Files\OLK32\www.fwa.gov.au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report: Report to the Minister</dc:title>
  <dc:creator>FairWorkCommission1@fwc.gov.au</dc:creator>
  <cp:lastModifiedBy>Julie Sincock</cp:lastModifiedBy>
  <cp:revision>23</cp:revision>
  <cp:lastPrinted>2019-10-23T04:10:00Z</cp:lastPrinted>
  <dcterms:created xsi:type="dcterms:W3CDTF">2022-01-12T06:19:00Z</dcterms:created>
  <dcterms:modified xsi:type="dcterms:W3CDTF">2022-01-27T23:47:00Z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0x0101008633483894BAE9439E887E0AC051F15E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